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0" w:after="0"/>
        <w:jc w:val="center"/>
      </w:pPr>
      <w:r>
        <w:drawing>
          <wp:inline xmlns:a="http://schemas.openxmlformats.org/drawingml/2006/main" xmlns:pic="http://schemas.openxmlformats.org/drawingml/2006/picture">
            <wp:extent cx="7506000" cy="10602000"/>
            <wp:docPr id="1" name="Picture 1"/>
            <wp:cNvGraphicFramePr>
              <a:graphicFrameLocks noChangeAspect="1"/>
            </wp:cNvGraphicFramePr>
            <a:graphic>
              <a:graphicData uri="http://schemas.openxmlformats.org/drawingml/2006/picture">
                <pic:pic>
                  <pic:nvPicPr>
                    <pic:cNvPr id="0" name="bafin_cover.png"/>
                    <pic:cNvPicPr/>
                  </pic:nvPicPr>
                  <pic:blipFill>
                    <a:blip r:embed="rId9"/>
                    <a:stretch>
                      <a:fillRect/>
                    </a:stretch>
                  </pic:blipFill>
                  <pic:spPr>
                    <a:xfrm>
                      <a:off x="0" y="0"/>
                      <a:ext cx="7506000" cy="10602000"/>
                    </a:xfrm>
                    <a:prstGeom prst="rect"/>
                  </pic:spPr>
                </pic:pic>
              </a:graphicData>
            </a:graphic>
          </wp:inline>
        </w:drawing>
      </w:r>
    </w:p>
    <w:p>
      <w:pPr>
        <w:widowControl/>
        <w:sectPr>
          <w:headerReference w:type="first" r:id="rId14"/>
          <w:footerReference w:type="first" r:id="rId15"/>
          <w:headerReference w:type="default" r:id="rId16"/>
          <w:footerReference w:type="default" r:id="rId17"/>
          <w:pgSz w:w="12240" w:h="15840"/>
          <w:pgMar w:top="0" w:right="0" w:bottom="0" w:left="0" w:header="720" w:footer="720" w:gutter="0"/>
          <w:cols w:space="720"/>
          <w:titlePg/>
          <w:docGrid w:linePitch="360"/>
        </w:sectPr>
      </w:pPr>
    </w:p>
    <w:p>
      <w:pPr>
        <w:pStyle w:val="Heading1"/>
        <w:keepNext/>
        <w:widowControl/>
      </w:pPr>
      <w:r>
        <w:t>Impressum</w:t>
      </w:r>
    </w:p>
    <w:p>
      <w:pPr>
        <w:widowControl/>
      </w:pPr>
      <w:r>
        <w:t>Copyright © 2026 Thomas Bremer</w:t>
      </w:r>
    </w:p>
    <w:p>
      <w:pPr>
        <w:widowControl/>
      </w:pPr>
      <w:r>
        <w:t>Herausgeber: Thomas Bremer</w:t>
      </w:r>
    </w:p>
    <w:p>
      <w:pPr>
        <w:widowControl/>
      </w:pPr>
      <w:r>
        <w:t>Alle Rechte vorbehalten. Jede Verwertung außerhalb der gesetzlichen Schranken des Urheberrechts bedarf der Zustimmung des Rechteinhabers. Dies gilt insbesondere für Vervielfältigung, Bearbeitung, Übersetzung sowie Speicherung und Verarbeitung in elektronischen Systemen.</w:t>
      </w:r>
    </w:p>
    <w:p>
      <w:pPr>
        <w:widowControl/>
      </w:pPr>
      <w:r>
        <w:t>Dieses Buch entstand aus Recherchen und eigenen Erfahrungen des Herausgebers. Es erhebt keinen Anspruch auf Vollständigkeit. Trotz sorgfältiger Arbeit können Fehler oder spätere Rechtsänderungen nicht ausgeschlossen werden. Das Werk dient der allgemeinen Information und ersetzt keine Rechts-, Steuer- oder Anlageberatung.</w:t>
      </w:r>
    </w:p>
    <w:p>
      <w:pPr>
        <w:widowControl/>
      </w:pPr>
      <w:r>
        <w:t>Hinweis zur redaktionellen Unterstützung: Das Manuskript wurde mit Unterstützung eines KI-Systems strukturiert und formuliert. Inhaltliche Verantwortung, Herausgeberschaft und Rechtezuordnung richten sich nach den vorstehenden Angaben und den jeweils anwendbaren gesetzlichen Bestimmungen.</w:t>
      </w:r>
    </w:p>
    <w:p>
      <w:pPr>
        <w:widowControl/>
      </w:pPr>
      <w:r>
        <w:br w:type="page"/>
      </w:r>
    </w:p>
    <w:p>
      <w:pPr>
        <w:pStyle w:val="Heading1"/>
        <w:keepNext/>
        <w:widowControl/>
      </w:pPr>
      <w:r>
        <w:t>Vorwort von Thomas Bremer</w:t>
      </w:r>
    </w:p>
    <w:p>
      <w:pPr>
        <w:widowControl/>
      </w:pPr>
      <w:r>
        <w:t>Seit fast zwanzig Jahren habe ich als investigativer Journalist mit der BaFin zu tun. In dieser Zeit habe ich die Behörde aus unterschiedlichen Blickwinkeln erlebt: als Aufseherin, die unerlaubte Geschäfte stoppt und Verbraucher warnt, als Ansprechpartnerin für Hinweise und Recherchen, aber auch als Institution, deren zögerliche Maßnahmen ich in manchem Fall nicht nachvollziehen konnte.</w:t>
      </w:r>
    </w:p>
    <w:p>
      <w:pPr>
        <w:widowControl/>
      </w:pPr>
      <w:r>
        <w:t>Gerade diese Ambivalenz ist der Ausgangspunkt dieses Buches. Die BaFin ist für den Anleger- und Verbraucherschutz eine wichtige Institution. Ohne eine handlungsfähige Finanzaufsicht wären Bürgerinnen und Bürger unseriösen Anbietern, intransparenten Produkten und institutionellen Risiken noch stärker ausgesetzt. Eine Erlaubnispflicht, laufende Aufsicht, Marktüberwachung, Produktinterventionen und öffentliche Warnungen sind keine abstrakte Bürokratie. Sie können Schäden verhindern, Fehlentwicklungen begrenzen und Vertrauen schaffen.</w:t>
      </w:r>
    </w:p>
    <w:p>
      <w:pPr>
        <w:widowControl/>
      </w:pPr>
      <w:r>
        <w:t>Bedeutung schließt Kritik nicht aus. Im Gegenteil: Weil die BaFin wichtig ist, muss man fragen dürfen, ob sie früh genug handelt, Hinweise richtig gewichtet und ihre gesetzlichen Möglichkeiten konsequent nutzt. Der Wirecard-Komplex hat gezeigt, welche Folgen fragmentierte Zuständigkeiten, falsche Risikoeinschätzungen und institutionelle Zurückhaltung haben können. Auch jenseits prominenter Fälle erleben Anleger, wie lang der Weg zwischen einem ersten Warnsignal und einer sichtbaren Maßnahme sein kann.</w:t>
      </w:r>
    </w:p>
    <w:p>
      <w:pPr>
        <w:widowControl/>
      </w:pPr>
      <w:r>
        <w:t>Dieses Buch entstand aus Recherchen und eigenen Erfahrungen. Es soll die BaFin verständlicher machen: ihre Geschichte, ihren gesetzlichen Auftrag, ihre Arbeitsweise, ihre Instrumente und ihre Grenzen. Es will weder jede Einzelfrage beantworten noch eine vollständige Behördenchronik liefern. Es erhebt ausdrücklich keinen Anspruch auf Vollständigkeit.</w:t>
      </w:r>
    </w:p>
    <w:p>
      <w:pPr>
        <w:widowControl/>
      </w:pPr>
      <w:r>
        <w:t>Zugleich richtet sich das Buch an den Gesetzgeber. Eine moderne Finanzwelt mit digitalen Plattformen, grenzüberschreitenden Angeboten, Kryptogeschäften und hochprofessioneller Werbung verlangt eine Aufsicht, die ebenso schnell, technisch versiert und durchsetzungsstark handeln kann. Wo Zuständigkeitslücken, zu hohe Eingriffshürden oder unzureichende Möglichkeiten der unmittelbaren Verbraucherwiedergutmachung bestehen, sollte der Gesetzgeber der BaFin zusätzliche, klar definierte Kompetenzen geben. Mehr Befugnisse müssen mit Transparenz, Kontrolle, personeller Stärke und eindeutiger Verantwortung verbunden sein.</w:t>
      </w:r>
    </w:p>
    <w:p>
      <w:pPr>
        <w:widowControl/>
      </w:pPr>
      <w:r>
        <w:t>Mein Ziel ist eine informierte, konstruktiv-kritische Sicht. Die BaFin darf weder als allmächtiges Schutzschild missverstanden noch pauschal für jedes Marktversagen verantwortlich gemacht werden. Sie sollte an dem gemessen werden, was sie kann, was sie darf und was eine zeitgemäße Aufsicht im öffentlichen Interesse können und dürfen sollte.</w:t>
      </w:r>
    </w:p>
    <w:p>
      <w:pPr>
        <w:widowControl/>
      </w:pPr>
      <w:r>
        <w:t>Thomas Bremer</w:t>
        <w:br/>
        <w:t>Herausgeber</w:t>
      </w:r>
    </w:p>
    <w:p>
      <w:pPr>
        <w:widowControl/>
      </w:pPr>
      <w:r>
        <w:br w:type="page"/>
      </w:r>
    </w:p>
    <w:p>
      <w:pPr>
        <w:pStyle w:val="Heading1"/>
        <w:keepNext/>
        <w:widowControl/>
      </w:pPr>
      <w:r>
        <w:t>Hinweise zur Nutzung</w:t>
      </w:r>
    </w:p>
    <w:p>
      <w:pPr>
        <w:widowControl/>
      </w:pPr>
      <w:r>
        <w:t>Dieses Buch erklärt die Entwicklung der Bundesanstalt für Finanzdienstleistungsaufsicht seit ihrer Gründung, ihre heutige Stellung im deutschen und europäischen Aufsichtssystem sowie ihre Bedeutung für Verbraucherinnen, Verbraucher und Anleger. Es verbindet Institutionengeschichte, Rechtsrahmen, Fallstudien und praktische Orientierung. Es ersetzt keine Rechts-, Steuer- oder Anlageberatung. Gesetze und Zuständigkeiten können sich ändern; für konkrete Entscheidungen sind die jeweils geltenden Rechtsquellen und Veröffentlichungen der zuständigen Stellen maßgeblich.</w:t>
      </w:r>
    </w:p>
    <w:p>
      <w:pPr>
        <w:pStyle w:val="Heading2"/>
        <w:keepNext/>
        <w:widowControl/>
      </w:pPr>
      <w:r>
        <w:t>Die zentrale Unterscheidung</w:t>
      </w:r>
    </w:p>
    <w:p>
      <w:pPr>
        <w:widowControl/>
      </w:pPr>
      <w:r>
        <w:t>BaFin-Schutz ist überwiegend kollektiver Schutz. Die Behörde überwacht Märkte und Unternehmen im öffentlichen Interesse. Sie kann Missstände untersuchen, Anordnungen treffen, Produkte beschränken, unerlaubte Geschäfte stoppen und Warnungen veröffentlichen. Sie entscheidet grundsätzlich nicht den privaten Zahlungsanspruch eines einzelnen Kunden, vertritt ihn nicht vor Gericht und garantiert weder Rendite noch die wirtschaftliche Stabilität jedes beaufsichtigten Unternehmens.</w:t>
      </w:r>
    </w:p>
    <w:p>
      <w:pPr>
        <w:pStyle w:val="Heading2"/>
        <w:keepNext/>
        <w:widowControl/>
      </w:pPr>
      <w:r>
        <w:t>Redaktionsstand und Schreibweise</w:t>
      </w:r>
    </w:p>
    <w:p>
      <w:pPr>
        <w:widowControl/>
      </w:pPr>
      <w:r>
        <w:t>Der Text berücksichtigt den Rechts- und Aufsichtsrahmen bis September 2026. „BaFin“ bezeichnet die Bundesanstalt für Finanzdienstleistungsaufsicht. Personenbezeichnungen werden möglichst inklusiv verwendet. Historische Bewertungen werden von belegbaren Tatsachen getrennt. Die Quellenübersicht am Ende führt vor allem amtliche Gesetze, europäische Rechtsakte und institutionelle Veröffentlichungen auf.</w:t>
      </w:r>
    </w:p>
    <w:p>
      <w:pPr>
        <w:widowControl/>
      </w:pPr>
      <w:r>
        <w:br w:type="page"/>
      </w:r>
    </w:p>
    <w:p>
      <w:pPr>
        <w:pStyle w:val="Heading1"/>
        <w:keepNext/>
        <w:widowControl/>
      </w:pPr>
      <w:r>
        <w:t>Inhaltsverzeichnis</w:t>
      </w:r>
    </w:p>
    <w:p>
      <w:pPr>
        <w:widowControl/>
      </w:pPr>
      <w:r>
        <w:t>Einleitung  Warum Finanzaufsicht jeden betrifft</w:t>
      </w:r>
    </w:p>
    <w:p>
      <w:pPr>
        <w:widowControl/>
      </w:pPr>
      <w:r>
        <w:t>Teil I  Entstehung und institutionelle Entwicklung</w:t>
      </w:r>
    </w:p>
    <w:p>
      <w:pPr>
        <w:widowControl/>
      </w:pPr>
      <w:r>
        <w:t>1  Vor 2002  Drei Aufsichtsämter und getrennte Welten</w:t>
      </w:r>
    </w:p>
    <w:p>
      <w:pPr>
        <w:widowControl/>
      </w:pPr>
      <w:r>
        <w:t>2  Die Gründung 2002  Das Versprechen der Allfinanzaufsicht</w:t>
      </w:r>
    </w:p>
    <w:p>
      <w:pPr>
        <w:widowControl/>
      </w:pPr>
      <w:r>
        <w:t>3  Konsolidierung 2002 bis 2007</w:t>
      </w:r>
    </w:p>
    <w:p>
      <w:pPr>
        <w:widowControl/>
      </w:pPr>
      <w:r>
        <w:t>4  Finanzkrise 2007 bis 2009  Der Stresstest</w:t>
      </w:r>
    </w:p>
    <w:p>
      <w:pPr>
        <w:widowControl/>
      </w:pPr>
      <w:r>
        <w:t>5  Europäisierung seit 2010</w:t>
      </w:r>
    </w:p>
    <w:p>
      <w:pPr>
        <w:widowControl/>
      </w:pPr>
      <w:r>
        <w:t>Teil II  Verbraucher und Anleger im Zentrum</w:t>
      </w:r>
    </w:p>
    <w:p>
      <w:pPr>
        <w:widowControl/>
      </w:pPr>
      <w:r>
        <w:t>6  Vom Nebenauftrag zum gesetzlichen Mandat</w:t>
      </w:r>
    </w:p>
    <w:p>
      <w:pPr>
        <w:widowControl/>
      </w:pPr>
      <w:r>
        <w:t>7  Verbraucheraufsicht in der Praxis</w:t>
      </w:r>
    </w:p>
    <w:p>
      <w:pPr>
        <w:widowControl/>
      </w:pPr>
      <w:r>
        <w:t>8  Anlegerschutz am Kapitalmarkt</w:t>
      </w:r>
    </w:p>
    <w:p>
      <w:pPr>
        <w:widowControl/>
      </w:pPr>
      <w:r>
        <w:t>9  Produktintervention und Vertriebsaufsicht</w:t>
      </w:r>
    </w:p>
    <w:p>
      <w:pPr>
        <w:widowControl/>
      </w:pPr>
      <w:r>
        <w:t>10 Beschwerden Schlichtung und Rechtsdurchsetzung</w:t>
      </w:r>
    </w:p>
    <w:p>
      <w:pPr>
        <w:widowControl/>
      </w:pPr>
      <w:r>
        <w:t>Teil III  Krisen Reformen und neue Risiken</w:t>
      </w:r>
    </w:p>
    <w:p>
      <w:pPr>
        <w:widowControl/>
      </w:pPr>
      <w:r>
        <w:t>11 Wirecard als Zäsur</w:t>
      </w:r>
    </w:p>
    <w:p>
      <w:pPr>
        <w:widowControl/>
      </w:pPr>
      <w:r>
        <w:t>12 Die Reform der BaFin seit 2021</w:t>
      </w:r>
    </w:p>
    <w:p>
      <w:pPr>
        <w:widowControl/>
      </w:pPr>
      <w:r>
        <w:t>13 Digitalisierung Kryptowerte und neue Anbieter</w:t>
      </w:r>
    </w:p>
    <w:p>
      <w:pPr>
        <w:widowControl/>
      </w:pPr>
      <w:r>
        <w:t>14 Nachhaltigkeit und Greenwashing</w:t>
      </w:r>
    </w:p>
    <w:p>
      <w:pPr>
        <w:widowControl/>
      </w:pPr>
      <w:r>
        <w:t>15 Operationale Resilienz Cyberrisiken und DORA</w:t>
      </w:r>
    </w:p>
    <w:p>
      <w:pPr>
        <w:widowControl/>
      </w:pPr>
      <w:r>
        <w:t>Teil IV  Grenzen Wirkung und Zukunft</w:t>
      </w:r>
    </w:p>
    <w:p>
      <w:pPr>
        <w:widowControl/>
      </w:pPr>
      <w:r>
        <w:t>16 Was die BaFin leisten kann und was nicht</w:t>
      </w:r>
    </w:p>
    <w:p>
      <w:pPr>
        <w:widowControl/>
      </w:pPr>
      <w:r>
        <w:t>17 Die BaFin im europäischen Aufsichtsnetz</w:t>
      </w:r>
    </w:p>
    <w:p>
      <w:pPr>
        <w:widowControl/>
      </w:pPr>
      <w:r>
        <w:t>18 Vergleich europäischer Finanzaufsichten</w:t>
      </w:r>
    </w:p>
    <w:p>
      <w:pPr>
        <w:widowControl/>
      </w:pPr>
      <w:r>
        <w:t>19 Reformoptionen für mehr Durchsetzungskraft</w:t>
      </w:r>
    </w:p>
    <w:p>
      <w:pPr>
        <w:widowControl/>
      </w:pPr>
      <w:r>
        <w:t>20 Zukunftsfragen bis 2030</w:t>
      </w:r>
    </w:p>
    <w:p>
      <w:pPr>
        <w:widowControl/>
      </w:pPr>
      <w:r>
        <w:t>Praktischer Leitfaden  So nutzen Verbraucher und Anleger die BaFin</w:t>
      </w:r>
    </w:p>
    <w:p>
      <w:pPr>
        <w:widowControl/>
      </w:pPr>
      <w:r>
        <w:t>Anhang  Zeittafel Glossar Quellen</w:t>
      </w:r>
    </w:p>
    <w:p>
      <w:pPr>
        <w:widowControl/>
      </w:pPr>
      <w:r>
        <w:br w:type="page"/>
      </w:r>
    </w:p>
    <w:p>
      <w:pPr>
        <w:pStyle w:val="Heading1"/>
        <w:keepNext/>
        <w:widowControl/>
      </w:pPr>
      <w:r>
        <w:t>Einleitung  Warum Finanzaufsicht jeden betrifft</w:t>
      </w:r>
    </w:p>
    <w:p>
      <w:pPr>
        <w:widowControl/>
      </w:pPr>
      <w:r>
        <w:t>Finanzaufsicht wirkt meist unsichtbar. Sie zeigt sich nicht bei jeder Überweisung, jeder Versicherungsprämie oder jedem Wertpapierkauf. Trotzdem steht hinter diesen alltäglichen Vorgängen ein dichtes Geflecht aus Zulassung, laufender Aufsicht, Meldepflichten, Verhaltensregeln, Bilanzkontrolle, Geldwäscheprävention, Abwicklung und Krisenmanagement. Die BaFin ist darin die zentrale deutsche Behörde. Ihre Arbeit beeinflusst, ob Banken ausreichend Kapital und Liquidität halten, Versicherer ihre langfristigen Verpflichtungen tragen können, Wertpapierfirmen Kunden korrekt behandeln und Kapitalmärkte transparent funktionieren.</w:t>
      </w:r>
    </w:p>
    <w:p>
      <w:pPr>
        <w:widowControl/>
      </w:pPr>
      <w:r>
        <w:t>Seit dem 1. Mai 2002 hat sich die Behörde grundlegend verändert. Am Anfang stand die organisatorische Zusammenführung dreier Bundesaufsichtsämter. Danach kamen die globale Finanzkrise, die europäische Bankenunion, ein ausdrücklich gesetzlicher Auftrag zum kollektiven Verbraucherschutz, der Wirecard-Skandal, eine tiefgreifende interne Reform sowie neue Regime für Kryptowerte, digitale Resilienz und nachhaltige Finanzprodukte. Aus einer nationalen Allfinanzaufsicht wurde ein Knoten in einem europäischen Netzwerk.</w:t>
      </w:r>
    </w:p>
    <w:p>
      <w:pPr>
        <w:widowControl/>
      </w:pPr>
      <w:r>
        <w:t>Die Geschichte ist weder eine reine Erfolgserzählung noch die Chronik eines dauerhaften Versagens. Aufsicht arbeitet mit unvollständigen Informationen, gesetzlichen Zuständigkeitsgrenzen und Zielkonflikten. Sie soll Stabilität sichern, ohne Wettbewerb und Innovation zu ersticken; Risiken früh erkennen, ohne jeden Verlust verhindern zu können; Unternehmen beaufsichtigen, ohne deren Geschäftsführung zu übernehmen. Gerade Krisen zeigen, ob Strukturen, Kompetenzen und Aufsichtskultur ausreichen. Deshalb stehen in diesem Buch institutionelle Fortschritte neben Fehlleistungen und Reformbedarf.</w:t>
      </w:r>
    </w:p>
    <w:p>
      <w:pPr>
        <w:widowControl/>
      </w:pPr>
      <w:r>
        <w:t>Für Verbraucher und Anleger lautet die praktische Kernfrage: Was bedeutet eine BaFin-Aufsicht konkret? Die Antwort ist differenziert. Eine Erlaubnis ist ein wichtiges Seriositätssignal, aber kein Gütesiegel für ein Produkt. Ein Prospekt kann geprüft oder gebilligt sein, ohne dass die BaFin die wirtschaftliche Tragfähigkeit der Anlage bestätigt. Eine Beschwerde kann Aufsichtsmaßnahmen auslösen, verschafft aber nicht automatisch Schadensersatz. Wer diese Unterschiede versteht, kann Warnsignale besser einordnen und seine Rechte gezielter durchsetzen.</w:t>
      </w:r>
    </w:p>
    <w:p>
      <w:pPr>
        <w:pStyle w:val="Heading2"/>
        <w:keepNext/>
        <w:widowControl/>
      </w:pPr>
      <w:r>
        <w:t>Die Entwicklung in vier Bewegungen</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173"/>
        <w:gridCol w:w="3173"/>
        <w:gridCol w:w="3173"/>
      </w:tblGrid>
      <w:tr>
        <w:tc>
          <w:tcPr>
            <w:tcW w:type="dxa" w:w="1701"/>
            <w:shd w:fill="17365D"/>
            <w:vAlign w:val="center"/>
            <w:tcMar>
              <w:top w:w="100" w:type="dxa"/>
              <w:start w:w="110" w:type="dxa"/>
              <w:bottom w:w="100" w:type="dxa"/>
              <w:end w:w="110" w:type="dxa"/>
            </w:tcMar>
          </w:tcPr>
          <w:p>
            <w:r>
              <w:rPr>
                <w:b/>
                <w:color w:val="FFFFFF"/>
                <w:sz w:val="18"/>
              </w:rPr>
              <w:t>Phase</w:t>
            </w:r>
          </w:p>
        </w:tc>
        <w:tc>
          <w:tcPr>
            <w:tcW w:type="dxa" w:w="2268"/>
            <w:shd w:fill="17365D"/>
            <w:vAlign w:val="center"/>
            <w:tcMar>
              <w:top w:w="100" w:type="dxa"/>
              <w:start w:w="110" w:type="dxa"/>
              <w:bottom w:w="100" w:type="dxa"/>
              <w:end w:w="110" w:type="dxa"/>
            </w:tcMar>
          </w:tcPr>
          <w:p>
            <w:r>
              <w:rPr>
                <w:b/>
                <w:color w:val="FFFFFF"/>
                <w:sz w:val="18"/>
              </w:rPr>
              <w:t>Leitidee</w:t>
            </w:r>
          </w:p>
        </w:tc>
        <w:tc>
          <w:tcPr>
            <w:tcW w:type="dxa" w:w="5102"/>
            <w:shd w:fill="17365D"/>
            <w:vAlign w:val="center"/>
            <w:tcMar>
              <w:top w:w="100" w:type="dxa"/>
              <w:start w:w="110" w:type="dxa"/>
              <w:bottom w:w="100" w:type="dxa"/>
              <w:end w:w="110" w:type="dxa"/>
            </w:tcMar>
          </w:tcPr>
          <w:p>
            <w:r>
              <w:rPr>
                <w:b/>
                <w:color w:val="FFFFFF"/>
                <w:sz w:val="18"/>
              </w:rPr>
              <w:t>Prägende Entwicklung</w:t>
            </w:r>
          </w:p>
        </w:tc>
      </w:tr>
      <w:tr>
        <w:tc>
          <w:tcPr>
            <w:tcW w:type="dxa" w:w="1701"/>
            <w:vAlign w:val="center"/>
            <w:tcMar>
              <w:top w:w="100" w:type="dxa"/>
              <w:start w:w="110" w:type="dxa"/>
              <w:bottom w:w="100" w:type="dxa"/>
              <w:end w:w="110" w:type="dxa"/>
            </w:tcMar>
          </w:tcPr>
          <w:p>
            <w:pPr>
              <w:spacing w:after="0"/>
            </w:pPr>
            <w:r>
              <w:rPr>
                <w:sz w:val="17"/>
              </w:rPr>
              <w:t>2002 bis 2007</w:t>
            </w:r>
          </w:p>
        </w:tc>
        <w:tc>
          <w:tcPr>
            <w:tcW w:type="dxa" w:w="2268"/>
            <w:vAlign w:val="center"/>
            <w:tcMar>
              <w:top w:w="100" w:type="dxa"/>
              <w:start w:w="110" w:type="dxa"/>
              <w:bottom w:w="100" w:type="dxa"/>
              <w:end w:w="110" w:type="dxa"/>
            </w:tcMar>
          </w:tcPr>
          <w:p>
            <w:pPr>
              <w:spacing w:after="0"/>
            </w:pPr>
            <w:r>
              <w:rPr>
                <w:sz w:val="17"/>
              </w:rPr>
              <w:t>Integration</w:t>
            </w:r>
          </w:p>
        </w:tc>
        <w:tc>
          <w:tcPr>
            <w:tcW w:type="dxa" w:w="5102"/>
            <w:vAlign w:val="center"/>
            <w:tcMar>
              <w:top w:w="100" w:type="dxa"/>
              <w:start w:w="110" w:type="dxa"/>
              <w:bottom w:w="100" w:type="dxa"/>
              <w:end w:w="110" w:type="dxa"/>
            </w:tcMar>
          </w:tcPr>
          <w:p>
            <w:pPr>
              <w:spacing w:after="0"/>
            </w:pPr>
            <w:r>
              <w:rPr>
                <w:sz w:val="17"/>
              </w:rPr>
              <w:t>Zusammenführung von Banken-, Versicherungs- und Wertpapieraufsicht</w:t>
            </w:r>
          </w:p>
        </w:tc>
      </w:tr>
      <w:tr>
        <w:tc>
          <w:tcPr>
            <w:tcW w:type="dxa" w:w="1701"/>
            <w:vAlign w:val="center"/>
            <w:shd w:fill="F2F6FA"/>
            <w:tcMar>
              <w:top w:w="100" w:type="dxa"/>
              <w:start w:w="110" w:type="dxa"/>
              <w:bottom w:w="100" w:type="dxa"/>
              <w:end w:w="110" w:type="dxa"/>
            </w:tcMar>
          </w:tcPr>
          <w:p>
            <w:pPr>
              <w:spacing w:after="0"/>
            </w:pPr>
            <w:r>
              <w:rPr>
                <w:sz w:val="17"/>
              </w:rPr>
              <w:t>2007 bis 2014</w:t>
            </w:r>
          </w:p>
        </w:tc>
        <w:tc>
          <w:tcPr>
            <w:tcW w:type="dxa" w:w="2268"/>
            <w:vAlign w:val="center"/>
            <w:shd w:fill="F2F6FA"/>
            <w:tcMar>
              <w:top w:w="100" w:type="dxa"/>
              <w:start w:w="110" w:type="dxa"/>
              <w:bottom w:w="100" w:type="dxa"/>
              <w:end w:w="110" w:type="dxa"/>
            </w:tcMar>
          </w:tcPr>
          <w:p>
            <w:pPr>
              <w:spacing w:after="0"/>
            </w:pPr>
            <w:r>
              <w:rPr>
                <w:sz w:val="17"/>
              </w:rPr>
              <w:t>Krisenfestigkeit</w:t>
            </w:r>
          </w:p>
        </w:tc>
        <w:tc>
          <w:tcPr>
            <w:tcW w:type="dxa" w:w="5102"/>
            <w:vAlign w:val="center"/>
            <w:shd w:fill="F2F6FA"/>
            <w:tcMar>
              <w:top w:w="100" w:type="dxa"/>
              <w:start w:w="110" w:type="dxa"/>
              <w:bottom w:w="100" w:type="dxa"/>
              <w:end w:w="110" w:type="dxa"/>
            </w:tcMar>
          </w:tcPr>
          <w:p>
            <w:pPr>
              <w:spacing w:after="0"/>
            </w:pPr>
            <w:r>
              <w:rPr>
                <w:sz w:val="17"/>
              </w:rPr>
              <w:t>Finanzkrise, neue Kapitalregeln, europäische Aufsichtsarchitektur</w:t>
            </w:r>
          </w:p>
        </w:tc>
      </w:tr>
      <w:tr>
        <w:tc>
          <w:tcPr>
            <w:tcW w:type="dxa" w:w="1701"/>
            <w:vAlign w:val="center"/>
            <w:tcMar>
              <w:top w:w="100" w:type="dxa"/>
              <w:start w:w="110" w:type="dxa"/>
              <w:bottom w:w="100" w:type="dxa"/>
              <w:end w:w="110" w:type="dxa"/>
            </w:tcMar>
          </w:tcPr>
          <w:p>
            <w:pPr>
              <w:spacing w:after="0"/>
            </w:pPr>
            <w:r>
              <w:rPr>
                <w:sz w:val="17"/>
              </w:rPr>
              <w:t>2015 bis 2020</w:t>
            </w:r>
          </w:p>
        </w:tc>
        <w:tc>
          <w:tcPr>
            <w:tcW w:type="dxa" w:w="2268"/>
            <w:vAlign w:val="center"/>
            <w:tcMar>
              <w:top w:w="100" w:type="dxa"/>
              <w:start w:w="110" w:type="dxa"/>
              <w:bottom w:w="100" w:type="dxa"/>
              <w:end w:w="110" w:type="dxa"/>
            </w:tcMar>
          </w:tcPr>
          <w:p>
            <w:pPr>
              <w:spacing w:after="0"/>
            </w:pPr>
            <w:r>
              <w:rPr>
                <w:sz w:val="17"/>
              </w:rPr>
              <w:t>Verbraucher und Verhalten</w:t>
            </w:r>
          </w:p>
        </w:tc>
        <w:tc>
          <w:tcPr>
            <w:tcW w:type="dxa" w:w="5102"/>
            <w:vAlign w:val="center"/>
            <w:tcMar>
              <w:top w:w="100" w:type="dxa"/>
              <w:start w:w="110" w:type="dxa"/>
              <w:bottom w:w="100" w:type="dxa"/>
              <w:end w:w="110" w:type="dxa"/>
            </w:tcMar>
          </w:tcPr>
          <w:p>
            <w:pPr>
              <w:spacing w:after="0"/>
            </w:pPr>
            <w:r>
              <w:rPr>
                <w:sz w:val="17"/>
              </w:rPr>
              <w:t>Gesetzlicher kollektiver Verbraucherschutz, Produktintervention, Vertriebsfragen</w:t>
            </w:r>
          </w:p>
        </w:tc>
      </w:tr>
      <w:tr>
        <w:tc>
          <w:tcPr>
            <w:tcW w:type="dxa" w:w="1701"/>
            <w:vAlign w:val="center"/>
            <w:shd w:fill="F2F6FA"/>
            <w:tcMar>
              <w:top w:w="100" w:type="dxa"/>
              <w:start w:w="110" w:type="dxa"/>
              <w:bottom w:w="100" w:type="dxa"/>
              <w:end w:w="110" w:type="dxa"/>
            </w:tcMar>
          </w:tcPr>
          <w:p>
            <w:pPr>
              <w:spacing w:after="0"/>
            </w:pPr>
            <w:r>
              <w:rPr>
                <w:sz w:val="17"/>
              </w:rPr>
              <w:t>Seit 2021</w:t>
            </w:r>
          </w:p>
        </w:tc>
        <w:tc>
          <w:tcPr>
            <w:tcW w:type="dxa" w:w="2268"/>
            <w:vAlign w:val="center"/>
            <w:shd w:fill="F2F6FA"/>
            <w:tcMar>
              <w:top w:w="100" w:type="dxa"/>
              <w:start w:w="110" w:type="dxa"/>
              <w:bottom w:w="100" w:type="dxa"/>
              <w:end w:w="110" w:type="dxa"/>
            </w:tcMar>
          </w:tcPr>
          <w:p>
            <w:pPr>
              <w:spacing w:after="0"/>
            </w:pPr>
            <w:r>
              <w:rPr>
                <w:sz w:val="17"/>
              </w:rPr>
              <w:t>Fokussierung und Modernisierung</w:t>
            </w:r>
          </w:p>
        </w:tc>
        <w:tc>
          <w:tcPr>
            <w:tcW w:type="dxa" w:w="5102"/>
            <w:vAlign w:val="center"/>
            <w:shd w:fill="F2F6FA"/>
            <w:tcMar>
              <w:top w:w="100" w:type="dxa"/>
              <w:start w:w="110" w:type="dxa"/>
              <w:bottom w:w="100" w:type="dxa"/>
              <w:end w:w="110" w:type="dxa"/>
            </w:tcMar>
          </w:tcPr>
          <w:p>
            <w:pPr>
              <w:spacing w:after="0"/>
            </w:pPr>
            <w:r>
              <w:rPr>
                <w:sz w:val="17"/>
              </w:rPr>
              <w:t>Wirecard-Aufarbeitung, risikoorientierte Aufsicht, Daten, Tech, neue EU-Regime</w:t>
            </w:r>
          </w:p>
        </w:tc>
      </w:tr>
    </w:tbl>
    <w:p>
      <w:pPr>
        <w:widowControl/>
        <w:spacing w:after="20"/>
      </w:pPr>
    </w:p>
    <w:p>
      <w:pPr>
        <w:pStyle w:val="Heading1"/>
        <w:keepNext/>
        <w:widowControl/>
      </w:pPr>
      <w:r>
        <w:t>Teil I  Entstehung und institutionelle Entwicklung</w:t>
      </w:r>
    </w:p>
    <w:p>
      <w:pPr>
        <w:pStyle w:val="Heading2"/>
        <w:keepNext/>
        <w:widowControl/>
      </w:pPr>
      <w:r>
        <w:t>1  Vor 2002  Drei Aufsichtsämter und getrennte Welten</w:t>
      </w:r>
    </w:p>
    <w:p>
      <w:pPr>
        <w:widowControl/>
      </w:pPr>
      <w:r>
        <w:t>Die deutsche Finanzaufsicht war lange sektoral organisiert. Das Bundesaufsichtsamt für das Kreditwesen überwachte Banken, das Bundesaufsichtsamt für das Versicherungswesen Versicherer und das Bundesaufsichtsamt für den Wertpapierhandel den Wertpapierhandel. Diese Ordnung spiegelte einen Markt wider, in dem Geschäftsmodelle klarer getrennt erschienen. Banken vergaben Kredite und nahmen Einlagen an, Versicherer deckten Risiken, Wertpapiermärkte vermittelten Kapital.</w:t>
      </w:r>
    </w:p>
    <w:p>
      <w:pPr>
        <w:widowControl/>
      </w:pPr>
      <w:r>
        <w:t>Mit Finanzkonglomeraten, Allfinanzstrategien, Verbriefungen und grenzüberschreitenden Gruppen wurden die Trennlinien porös. Risiken konnten von einer Konzerngesellschaft in eine andere wandern. Produkte verbanden Versicherungsschutz mit Kapitalanlage; Banken vertrieben Fonds und strukturierte Wertpapiere; internationale Gruppen nutzten rechtliche und organisatorische Unterschiede. Getrennte Behörden mussten Informationen austauschen, während die beaufsichtigten Gruppen längst integriert handelten.</w:t>
      </w:r>
    </w:p>
    <w:p>
      <w:pPr>
        <w:widowControl/>
      </w:pPr>
      <w:r>
        <w:t>Die Befürworter einer einheitlichen Behörde versprachen einen Gesamtblick auf Institute und Märkte, weniger Schnittstellen und eine kohärentere Aufsicht. Die Gegenposition warnte, Spezialisierung könne in einer Großbehörde verloren gehen und unterschiedliche Aufsichtskulturen ließen sich nicht allein durch ein Organigramm verbinden. Beide Perspektiven prägten die spätere Entwicklung: Integration schuf Überblick, erforderte aber dauerhaft starke Fachsäulen und funktionierende Querschnittsprozesse.</w:t>
      </w:r>
    </w:p>
    <w:p>
      <w:pPr>
        <w:pStyle w:val="Heading2"/>
        <w:keepNext/>
        <w:widowControl/>
      </w:pPr>
      <w:r>
        <w:t>2  Die Gründung 2002  Das Versprechen der Allfinanzaufsicht</w:t>
      </w:r>
    </w:p>
    <w:p>
      <w:pPr>
        <w:widowControl/>
      </w:pPr>
      <w:r>
        <w:t>Mit dem Finanzdienstleistungsaufsichtsgesetz entstand zum 1. Mai 2002 die BaFin als rechtsfähige bundesunmittelbare Anstalt des öffentlichen Rechts im Geschäftsbereich des Bundesministeriums der Finanzen. Sie übernahm die Aufgaben der drei Vorgängerämter. Bonn und Frankfurt am Main wurden ihre Standorte. Das Modell der Allfinanzaufsicht sollte sektorübergreifende Risiken erfassen und einheitliche Verwaltungsstrukturen schaffen.</w:t>
      </w:r>
    </w:p>
    <w:p>
      <w:pPr>
        <w:widowControl/>
      </w:pPr>
      <w:r>
        <w:t>Die BaFin wurde nicht aus dem Bundeshaushalt als klassische Ministerialbehörde finanziert, sondern im Wesentlichen durch Umlagen und Gebühren der beaufsichtigten Unternehmen. Diese Finanzierungsform soll die Allgemeinheit entlasten. Unabhängigkeit folgt daraus jedoch nicht automatisch: Rechtsgrundlagen, ministerielle Rechts- und Fachaufsicht in gesetzlich bestimmten Grenzen, gerichtliche Kontrolle und europäische Kompetenzverteilungen bestimmen den Handlungsrahmen.</w:t>
      </w:r>
    </w:p>
    <w:p>
      <w:pPr>
        <w:widowControl/>
      </w:pPr>
      <w:r>
        <w:t>Von Beginn an standen mehrere Schutzgüter nebeneinander: die Funktionsfähigkeit, Stabilität und Integrität des Finanzsystems, die Solvenz beaufsichtigter Unternehmen, faire und transparente Märkte sowie mittelbar die Interessen von Kunden und Anlegern. Der individuelle Verbraucherschutz war damals noch nicht in der heutigen Deutlichkeit als eigener gesetzlicher Auftrag formuliert. Viele Schutzwirkungen ergaben sich aus Instituts- und Marktaufsicht.</w:t>
      </w:r>
    </w:p>
    <w:p>
      <w:pPr>
        <w:pStyle w:val="Heading2"/>
        <w:keepNext/>
        <w:widowControl/>
      </w:pPr>
      <w:r>
        <w:t>3  Konsolidierung 2002 bis 2007</w:t>
      </w:r>
    </w:p>
    <w:p>
      <w:pPr>
        <w:widowControl/>
      </w:pPr>
      <w:r>
        <w:t>Die ersten Jahre waren eine Phase des Zusammenwachsens. Verfahren, IT-Systeme und Kulturen mussten vereinheitlicht werden. Die sektoralen Aufsichtssäulen blieben fachlich wichtig, während Querschnittsfunktionen den Gesamtblick stärken sollten. Gerade bei Konzernen zeigte sich der Vorteil, Informationen über Banken, Versicherer und Wertpapiergeschäft innerhalb einer Behörde zusammenzuführen.</w:t>
      </w:r>
    </w:p>
    <w:p>
      <w:pPr>
        <w:widowControl/>
      </w:pPr>
      <w:r>
        <w:t>Gleichzeitig beschleunigte sich die Finanzinnovation. Verbriefungen, komplexe Kreditderivate, außerbilanzielle Zweckgesellschaften und kurzfristige Refinanzierungsmodelle nahmen zu. Die damalige Aufsicht konzentrierte sich stark auf die Einhaltung bestehender Kapital- und Organisationsvorschriften. Systemische Wechselwirkungen und Liquiditätsrisiken wurden international unterschätzt. Das war kein ausschließlich deutsches Problem; es war ein Grundmuster der Vorkrisenaufsicht.</w:t>
      </w:r>
    </w:p>
    <w:p>
      <w:pPr>
        <w:widowControl/>
      </w:pPr>
      <w:r>
        <w:t>Für Privatanleger wuchs das Angebot strukturierter und fondsgebundener Produkte. Information und Vertrieb wurden wichtiger, doch die Idee, Produkte über ihren gesamten Lebenszyklus aus Sicht des Zielmarkts zu beaufsichtigen, war noch nicht so entwickelt wie später unter MiFID II und europäischen Produktgovernance-Regeln.</w:t>
      </w:r>
    </w:p>
    <w:p>
      <w:pPr>
        <w:pStyle w:val="Heading2"/>
        <w:keepNext/>
        <w:widowControl/>
      </w:pPr>
      <w:r>
        <w:t>4  Finanzkrise 2007 bis 2009  Der Stresstest</w:t>
      </w:r>
    </w:p>
    <w:p>
      <w:pPr>
        <w:widowControl/>
      </w:pPr>
      <w:r>
        <w:t>Die globale Finanzkrise machte sichtbar, dass formale Regelkonformität und mikroprudenzielle Einzelinstitutsaufsicht allein nicht genügen. Deutsche Institute waren über strukturierte Produkte, Zweckgesellschaften und Geldmärkte eng mit dem internationalen System verbunden. Als Vertrauen und Refinanzierung versiegten, wurden Risiken schlagartig real. Staatliche Stützungsmaßnahmen, Garantien und Abwicklungsfragen rückten in den Mittelpunkt.</w:t>
      </w:r>
    </w:p>
    <w:p>
      <w:pPr>
        <w:widowControl/>
      </w:pPr>
      <w:r>
        <w:t>Für die BaFin bedeutete die Krise operative Dauerbelastung und grundsätzliche Kritik. Gefragt wurde, ob Geschäftsmodelle, Liquiditätsrisiken und konzernweite Verflechtungen ausreichend verstanden worden waren. Die Antwort des Gesetzgebers bestand nicht nur in mehr Regeln, sondern in einem neuen europäischen und makroprudenziellen Rahmen. Kapital- und Liquiditätsanforderungen wurden verschärft, Sanierungs- und Abwicklungsplanung ausgebaut und die Zusammenarbeit mit Zentralbanken vertieft.</w:t>
      </w:r>
    </w:p>
    <w:p>
      <w:pPr>
        <w:widowControl/>
      </w:pPr>
      <w:r>
        <w:t>Verbraucher erlebten die Krise durch Kursverluste, problematische Zertifikate, Bankenunsicherheit und Vertrauensverlust. Dabei wurde deutlich, dass Solvenzaufsicht und Anlegerschutz zusammenhängen: Der Ausfall eines Emittenten kann ein zuvor als marktgängig wahrgenommenes Produkt massiv treffen. Ein formal korrekt vertriebenes Wertpapier bleibt ein wirtschaftliches Risiko.</w:t>
      </w:r>
    </w:p>
    <w:p>
      <w:pPr>
        <w:pStyle w:val="Heading2"/>
        <w:keepNext/>
        <w:widowControl/>
      </w:pPr>
      <w:r>
        <w:t>5  Europäisierung seit 2010</w:t>
      </w:r>
    </w:p>
    <w:p>
      <w:pPr>
        <w:widowControl/>
      </w:pPr>
      <w:r>
        <w:t>Nach der Krise wurde Finanzaufsicht europäischer. Seit 2011 koordinieren die Europäischen Aufsichtsbehörden EBA, EIOPA und ESMA Standards für Banken, Versicherungen und Wertpapiermärkte. Der Europäische Ausschuss für Systemrisiken beobachtet makroprudenzielle Gefahren. Nationale Behörden blieben zentral, wurden aber stärker in gemeinsame Regeln, Peer Reviews, Colleges und Datenflüsse eingebunden.</w:t>
      </w:r>
    </w:p>
    <w:p>
      <w:pPr>
        <w:widowControl/>
      </w:pPr>
      <w:r>
        <w:t>Mit der Bankenunion änderte sich die Bankenaufsicht besonders tief. Seit November 2014 beaufsichtigt die Europäische Zentralbank bedeutende Institute im Einheitlichen Aufsichtsmechanismus unmittelbar, gemeinsam mit nationalen Behörden in gemeinsamen Aufsichtsteams. Weniger bedeutende Institute stehen grundsätzlich unter nationaler Aufsicht, innerhalb des europäischen Rahmens. Für die Abwicklung kamen der Einheitliche Abwicklungsausschuss und nationale Abwicklungsfunktionen hinzu.</w:t>
      </w:r>
    </w:p>
    <w:p>
      <w:pPr>
        <w:widowControl/>
      </w:pPr>
      <w:r>
        <w:t>Die Folge ist keine einfache Hierarchie. Je nach Unternehmen, Produkt und Sachverhalt können BaFin, Bundesbank, EZB, europäische Aufsichtsbehörden, Abwicklungsstellen, Strafverfolgung, Börsenaufsichten der Länder oder andere Behörden zuständig sein. Für Bürger wirkt dieses Netz gelegentlich unübersichtlich. Institutionell ist es der Versuch, grenzüberschreitende Märkte mit grenzüberschreitender Aufsicht zu beantworten.</w:t>
      </w:r>
    </w:p>
    <w:p>
      <w:pPr>
        <w:pStyle w:val="Heading1"/>
        <w:keepNext/>
        <w:widowControl/>
      </w:pPr>
      <w:r>
        <w:t>Teil II  Verbraucher und Anleger im Zentrum</w:t>
      </w:r>
    </w:p>
    <w:p>
      <w:pPr>
        <w:pStyle w:val="Heading2"/>
        <w:keepNext/>
        <w:widowControl/>
      </w:pPr>
      <w:r>
        <w:t>6  Vom Nebenauftrag zum gesetzlichen Mandat</w:t>
      </w:r>
    </w:p>
    <w:p>
      <w:pPr>
        <w:widowControl/>
      </w:pPr>
      <w:r>
        <w:t>Ein entscheidender Wandel erfolgte 2015. § 4 Absatz 1a FinDAG verpflichtet die BaFin innerhalb ihres gesetzlichen Auftrags zum Schutz der kollektiven Verbraucherinteressen. Sie kann gegenüber beaufsichtigten Unternehmen Anordnungen treffen, um verbraucherschutzrelevante Missstände zu verhindern oder zu beseitigen, wenn eine generelle Klärung im Interesse des Verbraucherschutzes geboten erscheint. Ein Missstand muss nicht nur eine einzelne Person betreffen, sondern nach Art oder Umfang breitere Interessen gefährden.</w:t>
      </w:r>
    </w:p>
    <w:p>
      <w:pPr>
        <w:widowControl/>
      </w:pPr>
      <w:r>
        <w:t>Diese Norm verschob die Perspektive. Neben Solvenz und Marktintegrität rückten Verhalten, Produktgestaltung, Vertrieb, Verständlichkeit und wiederkehrende Beschwerdemuster stärker in den Fokus. Der Auftrag bleibt kollektiv: Die BaFin fragt, ob ein strukturelles Problem vorliegt. Sie berechnet nicht den individuellen Schaden und erlässt im Beschwerdeverfahren grundsätzlich keinen zivilrechtlichen Zahlungstitel.</w:t>
      </w:r>
    </w:p>
    <w:p>
      <w:pPr>
        <w:widowControl/>
      </w:pPr>
      <w:r>
        <w:t>Spätere Reformen stärkten Instrumente und Organisation. Verdeckte Testkäufe können zeigen, wie Beratung und Vertrieb tatsächlich ablaufen. Marktbeobachtung, Verbraucherbefragungen, Beschwerdeauswertung und Datenanalysen ergänzen klassische Prüfungen. Verbraucheraufsicht ist damit nicht nur Reaktion auf Eingaben, sondern zunehmend vorausschauende Risikoerkennung.</w:t>
      </w:r>
    </w:p>
    <w:p>
      <w:pPr>
        <w:pStyle w:val="Heading2"/>
        <w:keepNext/>
        <w:widowControl/>
      </w:pPr>
      <w:r>
        <w:t>7  Verbraucheraufsicht in der Praxis</w:t>
      </w:r>
    </w:p>
    <w:p>
      <w:pPr>
        <w:widowControl/>
      </w:pPr>
      <w:r>
        <w:t>Verbraucherschutz beginnt mit Information. Die BaFin veröffentlicht Warnungen zu unerlaubten oder möglicherweise betrügerischen Angeboten, erläutert Produkttypen und benennt Risiken. Ihre Unternehmensdatenbank hilft zu prüfen, ob ein Anbieter über eine Erlaubnis verfügt. Bei grenzüberschreitenden Angeboten ist zusätzlich zu klären, ob ein europäischer Pass oder eine Zuständigkeit einer anderen Behörde besteht.</w:t>
      </w:r>
    </w:p>
    <w:p>
      <w:pPr>
        <w:widowControl/>
      </w:pPr>
      <w:r>
        <w:t>Aufsicht über Verhalten betrifft beispielsweise Beratungs- und Informationspflichten, Interessenkonflikte, Kostenangaben, Beschwerdemanagement, Zielmarktbestimmung und ordnungsgemäße Geschäftsorganisation. Bei Versicherungen treten Fragen des Produktfreigabeverfahrens, der Beratung und der Leistungsbearbeitung hinzu; bei Banken etwa Entgelte, Vertrieb und Zahlungssicherheit. Nicht jede unfaire Vertragsklausel fällt allein in die BaFin-Zuständigkeit. Zivilgerichte und qualifizierte Verbraucherverbände bleiben wichtig.</w:t>
      </w:r>
    </w:p>
    <w:p>
      <w:pPr>
        <w:widowControl/>
      </w:pPr>
      <w:r>
        <w:t>Ein wirksamer kollektiver Schutz folgt einem Kreislauf: Hinweise werden gesammelt, Muster erkannt, Unternehmen angehört und geprüft, Maßnahmen angeordnet und ihre Wirkung kontrolliert. Einzelbeschwerden haben darin eine Doppelfunktion. Sie können dem Betroffenen einen Kommunikationsweg eröffnen und zugleich Aufsichtswissen liefern. Ihre Zahl allein beweist aber keinen Rechtsverstoß; Produkte mit vielen Kunden erzeugen naturgemäß mehr Eingaben.</w:t>
      </w:r>
    </w:p>
    <w:p>
      <w:pPr>
        <w:pStyle w:val="Heading3"/>
        <w:keepNext/>
        <w:widowControl/>
      </w:pPr>
      <w:r>
        <w:t>Instrumente des kollektiven Verbraucherschutzes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173"/>
        <w:gridCol w:w="3173"/>
        <w:gridCol w:w="3173"/>
      </w:tblGrid>
      <w:tr>
        <w:tc>
          <w:tcPr>
            <w:tcW w:type="dxa" w:w="1757"/>
            <w:shd w:fill="17365D"/>
            <w:vAlign w:val="center"/>
            <w:tcMar>
              <w:top w:w="100" w:type="dxa"/>
              <w:start w:w="110" w:type="dxa"/>
              <w:bottom w:w="100" w:type="dxa"/>
              <w:end w:w="110" w:type="dxa"/>
            </w:tcMar>
          </w:tcPr>
          <w:p>
            <w:r>
              <w:rPr>
                <w:b/>
                <w:color w:val="FFFFFF"/>
                <w:sz w:val="18"/>
              </w:rPr>
              <w:t>Instrument</w:t>
            </w:r>
          </w:p>
        </w:tc>
        <w:tc>
          <w:tcPr>
            <w:tcW w:type="dxa" w:w="2835"/>
            <w:shd w:fill="17365D"/>
            <w:vAlign w:val="center"/>
            <w:tcMar>
              <w:top w:w="100" w:type="dxa"/>
              <w:start w:w="110" w:type="dxa"/>
              <w:bottom w:w="100" w:type="dxa"/>
              <w:end w:w="110" w:type="dxa"/>
            </w:tcMar>
          </w:tcPr>
          <w:p>
            <w:r>
              <w:rPr>
                <w:b/>
                <w:color w:val="FFFFFF"/>
                <w:sz w:val="18"/>
              </w:rPr>
              <w:t>Funktion</w:t>
            </w:r>
          </w:p>
        </w:tc>
        <w:tc>
          <w:tcPr>
            <w:tcW w:type="dxa" w:w="4479"/>
            <w:shd w:fill="17365D"/>
            <w:vAlign w:val="center"/>
            <w:tcMar>
              <w:top w:w="100" w:type="dxa"/>
              <w:start w:w="110" w:type="dxa"/>
              <w:bottom w:w="100" w:type="dxa"/>
              <w:end w:w="110" w:type="dxa"/>
            </w:tcMar>
          </w:tcPr>
          <w:p>
            <w:r>
              <w:rPr>
                <w:b/>
                <w:color w:val="FFFFFF"/>
                <w:sz w:val="18"/>
              </w:rPr>
              <w:t>Grenze</w:t>
            </w:r>
          </w:p>
        </w:tc>
      </w:tr>
      <w:tr>
        <w:tc>
          <w:tcPr>
            <w:tcW w:type="dxa" w:w="1757"/>
            <w:vAlign w:val="center"/>
            <w:tcMar>
              <w:top w:w="100" w:type="dxa"/>
              <w:start w:w="110" w:type="dxa"/>
              <w:bottom w:w="100" w:type="dxa"/>
              <w:end w:w="110" w:type="dxa"/>
            </w:tcMar>
          </w:tcPr>
          <w:p>
            <w:pPr>
              <w:spacing w:after="0"/>
            </w:pPr>
            <w:r>
              <w:rPr>
                <w:sz w:val="17"/>
              </w:rPr>
              <w:t>Beschwerdeauswertung</w:t>
            </w:r>
          </w:p>
        </w:tc>
        <w:tc>
          <w:tcPr>
            <w:tcW w:type="dxa" w:w="2835"/>
            <w:vAlign w:val="center"/>
            <w:tcMar>
              <w:top w:w="100" w:type="dxa"/>
              <w:start w:w="110" w:type="dxa"/>
              <w:bottom w:w="100" w:type="dxa"/>
              <w:end w:w="110" w:type="dxa"/>
            </w:tcMar>
          </w:tcPr>
          <w:p>
            <w:pPr>
              <w:spacing w:after="0"/>
            </w:pPr>
            <w:r>
              <w:rPr>
                <w:sz w:val="17"/>
              </w:rPr>
              <w:t>Erkennt wiederkehrende Probleme</w:t>
            </w:r>
          </w:p>
        </w:tc>
        <w:tc>
          <w:tcPr>
            <w:tcW w:type="dxa" w:w="4479"/>
            <w:vAlign w:val="center"/>
            <w:tcMar>
              <w:top w:w="100" w:type="dxa"/>
              <w:start w:w="110" w:type="dxa"/>
              <w:bottom w:w="100" w:type="dxa"/>
              <w:end w:w="110" w:type="dxa"/>
            </w:tcMar>
          </w:tcPr>
          <w:p>
            <w:pPr>
              <w:spacing w:after="0"/>
            </w:pPr>
            <w:r>
              <w:rPr>
                <w:sz w:val="17"/>
              </w:rPr>
              <w:t>Kein Ersatz für Klage oder Fristwahrung</w:t>
            </w:r>
          </w:p>
        </w:tc>
      </w:tr>
      <w:tr>
        <w:tc>
          <w:tcPr>
            <w:tcW w:type="dxa" w:w="1757"/>
            <w:vAlign w:val="center"/>
            <w:shd w:fill="F2F6FA"/>
            <w:tcMar>
              <w:top w:w="100" w:type="dxa"/>
              <w:start w:w="110" w:type="dxa"/>
              <w:bottom w:w="100" w:type="dxa"/>
              <w:end w:w="110" w:type="dxa"/>
            </w:tcMar>
          </w:tcPr>
          <w:p>
            <w:pPr>
              <w:spacing w:after="0"/>
            </w:pPr>
            <w:r>
              <w:rPr>
                <w:sz w:val="17"/>
              </w:rPr>
              <w:t>Marktbeobachtung</w:t>
            </w:r>
          </w:p>
        </w:tc>
        <w:tc>
          <w:tcPr>
            <w:tcW w:type="dxa" w:w="2835"/>
            <w:vAlign w:val="center"/>
            <w:shd w:fill="F2F6FA"/>
            <w:tcMar>
              <w:top w:w="100" w:type="dxa"/>
              <w:start w:w="110" w:type="dxa"/>
              <w:bottom w:w="100" w:type="dxa"/>
              <w:end w:w="110" w:type="dxa"/>
            </w:tcMar>
          </w:tcPr>
          <w:p>
            <w:pPr>
              <w:spacing w:after="0"/>
            </w:pPr>
            <w:r>
              <w:rPr>
                <w:sz w:val="17"/>
              </w:rPr>
              <w:t>Identifiziert Trends und neue Risiken</w:t>
            </w:r>
          </w:p>
        </w:tc>
        <w:tc>
          <w:tcPr>
            <w:tcW w:type="dxa" w:w="4479"/>
            <w:vAlign w:val="center"/>
            <w:shd w:fill="F2F6FA"/>
            <w:tcMar>
              <w:top w:w="100" w:type="dxa"/>
              <w:start w:w="110" w:type="dxa"/>
              <w:bottom w:w="100" w:type="dxa"/>
              <w:end w:w="110" w:type="dxa"/>
            </w:tcMar>
          </w:tcPr>
          <w:p>
            <w:pPr>
              <w:spacing w:after="0"/>
            </w:pPr>
            <w:r>
              <w:rPr>
                <w:sz w:val="17"/>
              </w:rPr>
              <w:t>Daten können lückenhaft oder verzögert sein</w:t>
            </w:r>
          </w:p>
        </w:tc>
      </w:tr>
      <w:tr>
        <w:tc>
          <w:tcPr>
            <w:tcW w:type="dxa" w:w="1757"/>
            <w:vAlign w:val="center"/>
            <w:tcMar>
              <w:top w:w="100" w:type="dxa"/>
              <w:start w:w="110" w:type="dxa"/>
              <w:bottom w:w="100" w:type="dxa"/>
              <w:end w:w="110" w:type="dxa"/>
            </w:tcMar>
          </w:tcPr>
          <w:p>
            <w:pPr>
              <w:spacing w:after="0"/>
            </w:pPr>
            <w:r>
              <w:rPr>
                <w:sz w:val="17"/>
              </w:rPr>
              <w:t>Testkäufe</w:t>
            </w:r>
          </w:p>
        </w:tc>
        <w:tc>
          <w:tcPr>
            <w:tcW w:type="dxa" w:w="2835"/>
            <w:vAlign w:val="center"/>
            <w:tcMar>
              <w:top w:w="100" w:type="dxa"/>
              <w:start w:w="110" w:type="dxa"/>
              <w:bottom w:w="100" w:type="dxa"/>
              <w:end w:w="110" w:type="dxa"/>
            </w:tcMar>
          </w:tcPr>
          <w:p>
            <w:pPr>
              <w:spacing w:after="0"/>
            </w:pPr>
            <w:r>
              <w:rPr>
                <w:sz w:val="17"/>
              </w:rPr>
              <w:t>Prüfen reale Vertriebsabläufe verdeckt</w:t>
            </w:r>
          </w:p>
        </w:tc>
        <w:tc>
          <w:tcPr>
            <w:tcW w:type="dxa" w:w="4479"/>
            <w:vAlign w:val="center"/>
            <w:tcMar>
              <w:top w:w="100" w:type="dxa"/>
              <w:start w:w="110" w:type="dxa"/>
              <w:bottom w:w="100" w:type="dxa"/>
              <w:end w:w="110" w:type="dxa"/>
            </w:tcMar>
          </w:tcPr>
          <w:p>
            <w:pPr>
              <w:spacing w:after="0"/>
            </w:pPr>
            <w:r>
              <w:rPr>
                <w:sz w:val="17"/>
              </w:rPr>
              <w:t>Stichprobe, nicht Vollkontrolle</w:t>
            </w:r>
          </w:p>
        </w:tc>
      </w:tr>
      <w:tr>
        <w:tc>
          <w:tcPr>
            <w:tcW w:type="dxa" w:w="1757"/>
            <w:vAlign w:val="center"/>
            <w:shd w:fill="F2F6FA"/>
            <w:tcMar>
              <w:top w:w="100" w:type="dxa"/>
              <w:start w:w="110" w:type="dxa"/>
              <w:bottom w:w="100" w:type="dxa"/>
              <w:end w:w="110" w:type="dxa"/>
            </w:tcMar>
          </w:tcPr>
          <w:p>
            <w:pPr>
              <w:spacing w:after="0"/>
            </w:pPr>
            <w:r>
              <w:rPr>
                <w:sz w:val="17"/>
              </w:rPr>
              <w:t>Anordnungen</w:t>
            </w:r>
          </w:p>
        </w:tc>
        <w:tc>
          <w:tcPr>
            <w:tcW w:type="dxa" w:w="2835"/>
            <w:vAlign w:val="center"/>
            <w:shd w:fill="F2F6FA"/>
            <w:tcMar>
              <w:top w:w="100" w:type="dxa"/>
              <w:start w:w="110" w:type="dxa"/>
              <w:bottom w:w="100" w:type="dxa"/>
              <w:end w:w="110" w:type="dxa"/>
            </w:tcMar>
          </w:tcPr>
          <w:p>
            <w:pPr>
              <w:spacing w:after="0"/>
            </w:pPr>
            <w:r>
              <w:rPr>
                <w:sz w:val="17"/>
              </w:rPr>
              <w:t>Beseitigen strukturelle Missstände</w:t>
            </w:r>
          </w:p>
        </w:tc>
        <w:tc>
          <w:tcPr>
            <w:tcW w:type="dxa" w:w="4479"/>
            <w:vAlign w:val="center"/>
            <w:shd w:fill="F2F6FA"/>
            <w:tcMar>
              <w:top w:w="100" w:type="dxa"/>
              <w:start w:w="110" w:type="dxa"/>
              <w:bottom w:w="100" w:type="dxa"/>
              <w:end w:w="110" w:type="dxa"/>
            </w:tcMar>
          </w:tcPr>
          <w:p>
            <w:pPr>
              <w:spacing w:after="0"/>
            </w:pPr>
            <w:r>
              <w:rPr>
                <w:sz w:val="17"/>
              </w:rPr>
              <w:t>Erfordern Zuständigkeit und Rechtsgrundlage</w:t>
            </w:r>
          </w:p>
        </w:tc>
      </w:tr>
      <w:tr>
        <w:tc>
          <w:tcPr>
            <w:tcW w:type="dxa" w:w="1757"/>
            <w:vAlign w:val="center"/>
            <w:tcMar>
              <w:top w:w="100" w:type="dxa"/>
              <w:start w:w="110" w:type="dxa"/>
              <w:bottom w:w="100" w:type="dxa"/>
              <w:end w:w="110" w:type="dxa"/>
            </w:tcMar>
          </w:tcPr>
          <w:p>
            <w:pPr>
              <w:spacing w:after="0"/>
            </w:pPr>
            <w:r>
              <w:rPr>
                <w:sz w:val="17"/>
              </w:rPr>
              <w:t>Produktintervention</w:t>
            </w:r>
          </w:p>
        </w:tc>
        <w:tc>
          <w:tcPr>
            <w:tcW w:type="dxa" w:w="2835"/>
            <w:vAlign w:val="center"/>
            <w:tcMar>
              <w:top w:w="100" w:type="dxa"/>
              <w:start w:w="110" w:type="dxa"/>
              <w:bottom w:w="100" w:type="dxa"/>
              <w:end w:w="110" w:type="dxa"/>
            </w:tcMar>
          </w:tcPr>
          <w:p>
            <w:pPr>
              <w:spacing w:after="0"/>
            </w:pPr>
            <w:r>
              <w:rPr>
                <w:sz w:val="17"/>
              </w:rPr>
              <w:t>Beschränkt oder verbietet besonders schädliche Angebote</w:t>
            </w:r>
          </w:p>
        </w:tc>
        <w:tc>
          <w:tcPr>
            <w:tcW w:type="dxa" w:w="4479"/>
            <w:vAlign w:val="center"/>
            <w:tcMar>
              <w:top w:w="100" w:type="dxa"/>
              <w:start w:w="110" w:type="dxa"/>
              <w:bottom w:w="100" w:type="dxa"/>
              <w:end w:w="110" w:type="dxa"/>
            </w:tcMar>
          </w:tcPr>
          <w:p>
            <w:pPr>
              <w:spacing w:after="0"/>
            </w:pPr>
            <w:r>
              <w:rPr>
                <w:sz w:val="17"/>
              </w:rPr>
              <w:t>Hohe rechtliche und tatsächliche Eingriffsschwelle</w:t>
            </w:r>
          </w:p>
        </w:tc>
      </w:tr>
      <w:tr>
        <w:tc>
          <w:tcPr>
            <w:tcW w:type="dxa" w:w="1757"/>
            <w:vAlign w:val="center"/>
            <w:shd w:fill="F2F6FA"/>
            <w:tcMar>
              <w:top w:w="100" w:type="dxa"/>
              <w:start w:w="110" w:type="dxa"/>
              <w:bottom w:w="100" w:type="dxa"/>
              <w:end w:w="110" w:type="dxa"/>
            </w:tcMar>
          </w:tcPr>
          <w:p>
            <w:pPr>
              <w:spacing w:after="0"/>
            </w:pPr>
            <w:r>
              <w:rPr>
                <w:sz w:val="17"/>
              </w:rPr>
              <w:t>Warnungen</w:t>
            </w:r>
          </w:p>
        </w:tc>
        <w:tc>
          <w:tcPr>
            <w:tcW w:type="dxa" w:w="2835"/>
            <w:vAlign w:val="center"/>
            <w:shd w:fill="F2F6FA"/>
            <w:tcMar>
              <w:top w:w="100" w:type="dxa"/>
              <w:start w:w="110" w:type="dxa"/>
              <w:bottom w:w="100" w:type="dxa"/>
              <w:end w:w="110" w:type="dxa"/>
            </w:tcMar>
          </w:tcPr>
          <w:p>
            <w:pPr>
              <w:spacing w:after="0"/>
            </w:pPr>
            <w:r>
              <w:rPr>
                <w:sz w:val="17"/>
              </w:rPr>
              <w:t>Machen Öffentlichkeit auf Risiken aufmerksam</w:t>
            </w:r>
          </w:p>
        </w:tc>
        <w:tc>
          <w:tcPr>
            <w:tcW w:type="dxa" w:w="4479"/>
            <w:vAlign w:val="center"/>
            <w:shd w:fill="F2F6FA"/>
            <w:tcMar>
              <w:top w:w="100" w:type="dxa"/>
              <w:start w:w="110" w:type="dxa"/>
              <w:bottom w:w="100" w:type="dxa"/>
              <w:end w:w="110" w:type="dxa"/>
            </w:tcMar>
          </w:tcPr>
          <w:p>
            <w:pPr>
              <w:spacing w:after="0"/>
            </w:pPr>
            <w:r>
              <w:rPr>
                <w:sz w:val="17"/>
              </w:rPr>
              <w:t>Warnung ersetzt eigene Prüfung nicht</w:t>
            </w:r>
          </w:p>
        </w:tc>
      </w:tr>
    </w:tbl>
    <w:p>
      <w:pPr>
        <w:widowControl/>
        <w:spacing w:after="20"/>
      </w:pPr>
    </w:p>
    <w:p>
      <w:pPr>
        <w:pStyle w:val="Heading2"/>
        <w:keepNext/>
        <w:widowControl/>
      </w:pPr>
      <w:r>
        <w:t>8  Anlegerschutz am Kapitalmarkt</w:t>
      </w:r>
    </w:p>
    <w:p>
      <w:pPr>
        <w:widowControl/>
      </w:pPr>
      <w:r>
        <w:t>Anlegerschutz ist breiter als Verbraucherschutz. Auch professionelle Marktteilnehmer benötigen faire Preisbildung, zuverlässige Informationen und Schutz vor Marktmissbrauch. Die Wertpapieraufsicht überwacht Insiderhandel und Marktmanipulation, Publizitätspflichten, Wertpapierdienstleistungen und Teile der Prospektregime. Integrität des Marktes ist kollektiver Anlegerschutz: Wenn Preise manipuliert oder Informationen selektiv verteilt werden, leidet das Vertrauen aller Marktteilnehmer.</w:t>
      </w:r>
    </w:p>
    <w:p>
      <w:pPr>
        <w:widowControl/>
      </w:pPr>
      <w:r>
        <w:t>Bei Anlageberatung und Portfolioverwaltung stehen Kundeneinstufung, Geeignetheit, Kosten, Zuwendungen, Aufzeichnung und Interessenkonflikte im Mittelpunkt. MiFID II hat diese Pflichten europaweit verdichtet. Das Prinzip lautet nicht, dass jede Anlage erfolgreich sein muss, sondern dass Produkt, Zielmarkt und Kundenprofil nachvollziehbar zusammenpassen und der Kunde wesentliche Informationen erhält.</w:t>
      </w:r>
    </w:p>
    <w:p>
      <w:pPr>
        <w:widowControl/>
      </w:pPr>
      <w:r>
        <w:t>Prospektprüfung wird häufig missverstanden. Eine Billigung bestätigt im Kern, dass der Prospekt die gesetzlichen Anforderungen an Vollständigkeit, Verständlichkeit und Kohärenz erfüllt. Sie ist keine wirtschaftliche Qualitätsprüfung, keine Aussage zur Bonität des Emittenten und keine Empfehlung. Auch ein gebilligter Prospekt kann ein hochriskantes oder später ausfallendes Produkt betreffen.</w:t>
      </w:r>
    </w:p>
    <w:p>
      <w:pPr>
        <w:widowControl/>
      </w:pPr>
      <w:r>
        <w:t>Marktmissbrauchsaufsicht schützt die Preisbildung, führt aber nicht automatisch zu Ersatzansprüchen. Ermittlungen können vertraulich sein, lange dauern und in Zusammenarbeit mit Staatsanwaltschaften erfolgen. Die BaFin kann Sachverhalte analysieren und anzeigen; strafrechtliche Verfolgung und zivilrechtliche Haftung liegen bei anderen Institutionen.</w:t>
      </w:r>
    </w:p>
    <w:p>
      <w:pPr>
        <w:pStyle w:val="Heading2"/>
        <w:keepNext/>
        <w:widowControl/>
      </w:pPr>
      <w:r>
        <w:t>9  Produktintervention und Vertriebsaufsicht</w:t>
      </w:r>
    </w:p>
    <w:p>
      <w:pPr>
        <w:widowControl/>
      </w:pPr>
      <w:r>
        <w:t>Die Produktintervention gehört zu den sichtbarsten Instrumenten moderner Aufsicht. Unter nationalem und europäischem Recht können Vermarktung, Vertrieb oder Verkauf bestimmter Finanzinstrumente beschränkt oder verboten werden, wenn erhebliche Bedenken für den Anlegerschutz oder die Marktordnung bestehen und mildere Maßnahmen nicht ausreichen. Der Eingriff richtet sich gegen ein Produktmuster oder eine Vertriebsform, nicht gegen bloß schlechte Rendite.</w:t>
      </w:r>
    </w:p>
    <w:p>
      <w:pPr>
        <w:widowControl/>
      </w:pPr>
      <w:r>
        <w:t>Bekannte Beispiele sind Beschränkungen für Differenzkontrakte gegenüber Kleinanlegern und Verbote beziehungsweise Beschränkungen besonders verlustträchtiger spekulativer Produkte. Hebel, Nachschusspflichten, kurze Laufzeiten, aggressive Werbung und ein struktureller Informationsnachteil können zusammenspielen. Produktintervention ist jedoch kein allgemeiner paternalistischer Filter. Sie muss verhältnismäßig, rechtlich belastbar und regelmäßig überprüfbar sein.</w:t>
      </w:r>
    </w:p>
    <w:p>
      <w:pPr>
        <w:widowControl/>
      </w:pPr>
      <w:r>
        <w:t>Produktgovernance setzt früher an. Hersteller sollen Zielmarkt, Nutzen, Kostenstruktur, Vertriebsstrategie und regelmäßige Überprüfung festlegen. Vertriebsunternehmen müssen diese Vorgaben in ihrer Kundschaft umsetzen. Aufsicht verschiebt sich damit vom einzelnen Beratungsgespräch zum Lebenszyklus des Produkts. Besonders relevant sind komplexe Zertifikate, fondsgebundene Versicherungen, Restschuldversicherungen und digitale Hochrisikoangebote.</w:t>
      </w:r>
    </w:p>
    <w:p>
      <w:pPr>
        <w:pStyle w:val="Heading2"/>
        <w:keepNext/>
        <w:widowControl/>
      </w:pPr>
      <w:r>
        <w:t>10  Beschwerden Schlichtung und Rechtsdurchsetzung</w:t>
      </w:r>
    </w:p>
    <w:p>
      <w:pPr>
        <w:widowControl/>
      </w:pPr>
      <w:r>
        <w:t>Wer sich beschwert, sollte drei Wege auseinanderhalten. Erstens das Beschwerdemanagement des Unternehmens: Es ist meist der schnellste Weg zu einer Korrektur. Zweitens eine zuständige Schlichtungsstelle oder Ombudsstelle: Sie kann einen individuellen Streit außergerichtlich bewerten. Drittens die BaFin: Sie prüft den Sachverhalt unter Aufsichtsgesichtspunkten und nutzt Hinweise für den kollektiven Schutz. Je nach Fall kommen Verbraucherzentrale, Anwalt, Gericht oder Strafanzeige hinzu.</w:t>
      </w:r>
    </w:p>
    <w:p>
      <w:pPr>
        <w:widowControl/>
      </w:pPr>
      <w:r>
        <w:t>Wichtig ist die Fristfrage. Eine Eingabe bei der BaFin hemmt zivilrechtliche Verjährungs- oder Ausschlussfristen grundsätzlich nicht automatisch. Wer Ansprüche sichern muss, sollte die einschlägigen Regeln unabhängig vom Aufsichtsverfahren prüfen. Ebenso darf das Bankgeheimnis oder die aufsichtsrechtliche Verschwiegenheit dazu führen, dass die BaFin nicht jedes Detail ihrer Maßnahmen mitteilen kann.</w:t>
      </w:r>
    </w:p>
    <w:p>
      <w:pPr>
        <w:widowControl/>
      </w:pPr>
      <w:r>
        <w:t>Eine gute Beschwerde ist sachlich, chronologisch und belegt. Sie nennt Unternehmen, Produkt, Vertrags- oder Kontonummer, Datum, konkrete Handlung, bisherigen Schriftwechsel und gewünschte Klärung. Originale bleiben beim Absender; Kopien oder digitale Nachweise genügen regelmäßig. Passwörter, vollständige PINs und unnötige sensible Daten gehören nicht in ungesicherte Nachrichten.</w:t>
      </w:r>
    </w:p>
    <w:p>
      <w:pPr>
        <w:pStyle w:val="Heading1"/>
        <w:keepNext/>
        <w:widowControl/>
      </w:pPr>
      <w:r>
        <w:t>Teil III  Krisen Reformen und neue Risiken</w:t>
      </w:r>
    </w:p>
    <w:p>
      <w:pPr>
        <w:pStyle w:val="Heading2"/>
        <w:keepNext/>
        <w:widowControl/>
      </w:pPr>
      <w:r>
        <w:t>11  Wirecard als Zäsur</w:t>
      </w:r>
    </w:p>
    <w:p>
      <w:pPr>
        <w:widowControl/>
      </w:pPr>
      <w:r>
        <w:t>Der Zusammenbruch von Wirecard im Jahr 2020 wurde zur schwersten Vertrauenskrise der jüngeren deutschen Finanzaufsicht. Im Zentrum standen mutmaßlich nicht vorhandene Bankguthaben in Milliardenhöhe, langjährige Zweifel an der Rechnungslegung und ein Konzern, dessen regulierte und unregulierte Teile unterschiedlich erfasst wurden. Der Fall offenbarte Zuständigkeitsbrüche zwischen Bilanzkontrolle, Bankenaufsicht, Wirtschaftsprüfung, Strafverfolgung und politischer Steuerung.</w:t>
      </w:r>
    </w:p>
    <w:p>
      <w:pPr>
        <w:widowControl/>
      </w:pPr>
      <w:r>
        <w:t>Die BaFin beaufsichtigte die Wirecard Bank, nicht automatisch den gesamten Technologiekonzern wie eine Bank. Zugleich traf sie Entscheidungen, die später scharf kritisiert wurden, darunter ein zeitweiliges Leerverkaufsverbot und der Umgang mit Hinweisen und Berichterstattung. Die entscheidende Lehre war nicht, dass eine Behörde jedes Bilanzdelikt sicher entdecken könne. Sie war, dass Aufsicht Verdachtsmomente konsequent aus unterschiedlichen Quellen zusammenführen, Konzernstrukturen wirtschaftlich betrachten und bei Unsicherheit eskalieren muss.</w:t>
      </w:r>
    </w:p>
    <w:p>
      <w:pPr>
        <w:widowControl/>
      </w:pPr>
      <w:r>
        <w:t>Wirecard veränderte die gesellschaftliche Erwartung. Formale Zuständigkeitsargumente wirkten nach dem Zusammenbruch unzureichend, selbst wenn sie rechtlich zutrafen. Öffentlichkeit und Gesetzgeber verlangten eine Aufsicht, die bei ungewöhnlichen Geschäftsmodellen, hohen Bewertungen, aggressiver Kommunikation und widersprüchlichen Daten schneller hinterfragt. Aufsichtskultur wurde damit ebenso wichtig wie Befugnisse.</w:t>
      </w:r>
    </w:p>
    <w:p>
      <w:pPr>
        <w:pStyle w:val="Heading2"/>
        <w:keepNext/>
        <w:widowControl/>
      </w:pPr>
      <w:r>
        <w:t>12  Die Reform der BaFin seit 2021</w:t>
      </w:r>
    </w:p>
    <w:p>
      <w:pPr>
        <w:widowControl/>
      </w:pPr>
      <w:r>
        <w:t>Das Finanzmarktintegritätsstärkungsgesetz und organisatorische Reformen erweiterten Kompetenzen, insbesondere bei der Bilanzkontrolle, und stärkten die unmittelbare staatliche Verantwortung. Die zweistufige private und staatliche Bilanzkontrolle wurde neu geordnet; die BaFin erhielt eine zentralere Rolle. Interne Reformen zielten auf klarere Verantwortung, schnellere Entscheidungen, Fokusaufsicht für besonders relevante Unternehmen sowie bessere Daten- und Technikanalyse.</w:t>
      </w:r>
    </w:p>
    <w:p>
      <w:pPr>
        <w:widowControl/>
      </w:pPr>
      <w:r>
        <w:t>Eine Fokusaufsicht soll Unternehmen mit komplexem, innovativem oder besonders riskantem Geschäftsmodell intensiver beobachten. Das Prinzip ist risikoorientiert: Nicht jedes Institut erhält dieselbe Aufmerksamkeit. Ressourcen werden dort konzentriert, wo Schadenspotenzial, Dynamik oder Unsicherheit besonders hoch sind. Dies erhöht die Wirkung, birgt aber das Risiko, dass falsch eingeschätzte Randfälle zu spät erkannt werden.</w:t>
      </w:r>
    </w:p>
    <w:p>
      <w:pPr>
        <w:widowControl/>
      </w:pPr>
      <w:r>
        <w:t>Verhaltensregeln und Interessenkonflikte innerhalb der Behörde wurden nachgeschärft. Private Finanzgeschäfte von Beschäftigten wurden strenger reguliert. Organisatorisch gewann die Verbraucherperspektive an Sichtbarkeit; Mystery Shopping und systematischere Marktbeobachtung ergänzten klassische Prüfungen. Entscheidend bleibt, ob neue Strukturen im Alltag Widerspruch, Eskalation und interdisziplinäre Analyse tatsächlich fördern.</w:t>
      </w:r>
    </w:p>
    <w:p>
      <w:pPr>
        <w:pStyle w:val="Heading3"/>
        <w:keepNext/>
        <w:widowControl/>
      </w:pPr>
      <w:r>
        <w:t>Reformlogik nach Wirecard</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173"/>
        <w:gridCol w:w="3173"/>
        <w:gridCol w:w="3173"/>
      </w:tblGrid>
      <w:tr>
        <w:tc>
          <w:tcPr>
            <w:tcW w:type="dxa" w:w="2268"/>
            <w:shd w:fill="17365D"/>
            <w:vAlign w:val="center"/>
            <w:tcMar>
              <w:top w:w="100" w:type="dxa"/>
              <w:start w:w="110" w:type="dxa"/>
              <w:bottom w:w="100" w:type="dxa"/>
              <w:end w:w="110" w:type="dxa"/>
            </w:tcMar>
          </w:tcPr>
          <w:p>
            <w:r>
              <w:rPr>
                <w:b/>
                <w:color w:val="FFFFFF"/>
                <w:sz w:val="18"/>
              </w:rPr>
              <w:t>Problem</w:t>
            </w:r>
          </w:p>
        </w:tc>
        <w:tc>
          <w:tcPr>
            <w:tcW w:type="dxa" w:w="2948"/>
            <w:shd w:fill="17365D"/>
            <w:vAlign w:val="center"/>
            <w:tcMar>
              <w:top w:w="100" w:type="dxa"/>
              <w:start w:w="110" w:type="dxa"/>
              <w:bottom w:w="100" w:type="dxa"/>
              <w:end w:w="110" w:type="dxa"/>
            </w:tcMar>
          </w:tcPr>
          <w:p>
            <w:r>
              <w:rPr>
                <w:b/>
                <w:color w:val="FFFFFF"/>
                <w:sz w:val="18"/>
              </w:rPr>
              <w:t>Reaktion</w:t>
            </w:r>
          </w:p>
        </w:tc>
        <w:tc>
          <w:tcPr>
            <w:tcW w:type="dxa" w:w="3855"/>
            <w:shd w:fill="17365D"/>
            <w:vAlign w:val="center"/>
            <w:tcMar>
              <w:top w:w="100" w:type="dxa"/>
              <w:start w:w="110" w:type="dxa"/>
              <w:bottom w:w="100" w:type="dxa"/>
              <w:end w:w="110" w:type="dxa"/>
            </w:tcMar>
          </w:tcPr>
          <w:p>
            <w:r>
              <w:rPr>
                <w:b/>
                <w:color w:val="FFFFFF"/>
                <w:sz w:val="18"/>
              </w:rPr>
              <w:t>Erwartete Wirkung</w:t>
            </w:r>
          </w:p>
        </w:tc>
      </w:tr>
      <w:tr>
        <w:tc>
          <w:tcPr>
            <w:tcW w:type="dxa" w:w="2268"/>
            <w:vAlign w:val="center"/>
            <w:tcMar>
              <w:top w:w="100" w:type="dxa"/>
              <w:start w:w="110" w:type="dxa"/>
              <w:bottom w:w="100" w:type="dxa"/>
              <w:end w:w="110" w:type="dxa"/>
            </w:tcMar>
          </w:tcPr>
          <w:p>
            <w:pPr>
              <w:spacing w:after="0"/>
            </w:pPr>
            <w:r>
              <w:rPr>
                <w:sz w:val="17"/>
              </w:rPr>
              <w:t>Fragmentierte Bilanzkontrolle</w:t>
            </w:r>
          </w:p>
        </w:tc>
        <w:tc>
          <w:tcPr>
            <w:tcW w:type="dxa" w:w="2948"/>
            <w:vAlign w:val="center"/>
            <w:tcMar>
              <w:top w:w="100" w:type="dxa"/>
              <w:start w:w="110" w:type="dxa"/>
              <w:bottom w:w="100" w:type="dxa"/>
              <w:end w:w="110" w:type="dxa"/>
            </w:tcMar>
          </w:tcPr>
          <w:p>
            <w:pPr>
              <w:spacing w:after="0"/>
            </w:pPr>
            <w:r>
              <w:rPr>
                <w:sz w:val="17"/>
              </w:rPr>
              <w:t>Stärkere unmittelbare BaFin-Kompetenz</w:t>
            </w:r>
          </w:p>
        </w:tc>
        <w:tc>
          <w:tcPr>
            <w:tcW w:type="dxa" w:w="3855"/>
            <w:vAlign w:val="center"/>
            <w:tcMar>
              <w:top w:w="100" w:type="dxa"/>
              <w:start w:w="110" w:type="dxa"/>
              <w:bottom w:w="100" w:type="dxa"/>
              <w:end w:w="110" w:type="dxa"/>
            </w:tcMar>
          </w:tcPr>
          <w:p>
            <w:pPr>
              <w:spacing w:after="0"/>
            </w:pPr>
            <w:r>
              <w:rPr>
                <w:sz w:val="17"/>
              </w:rPr>
              <w:t>Schnellere und hoheitlichere Prüfung</w:t>
            </w:r>
          </w:p>
        </w:tc>
      </w:tr>
      <w:tr>
        <w:tc>
          <w:tcPr>
            <w:tcW w:type="dxa" w:w="2268"/>
            <w:vAlign w:val="center"/>
            <w:shd w:fill="F2F6FA"/>
            <w:tcMar>
              <w:top w:w="100" w:type="dxa"/>
              <w:start w:w="110" w:type="dxa"/>
              <w:bottom w:w="100" w:type="dxa"/>
              <w:end w:w="110" w:type="dxa"/>
            </w:tcMar>
          </w:tcPr>
          <w:p>
            <w:pPr>
              <w:spacing w:after="0"/>
            </w:pPr>
            <w:r>
              <w:rPr>
                <w:sz w:val="17"/>
              </w:rPr>
              <w:t>Unklare Risikopriorisierung</w:t>
            </w:r>
          </w:p>
        </w:tc>
        <w:tc>
          <w:tcPr>
            <w:tcW w:type="dxa" w:w="2948"/>
            <w:vAlign w:val="center"/>
            <w:shd w:fill="F2F6FA"/>
            <w:tcMar>
              <w:top w:w="100" w:type="dxa"/>
              <w:start w:w="110" w:type="dxa"/>
              <w:bottom w:w="100" w:type="dxa"/>
              <w:end w:w="110" w:type="dxa"/>
            </w:tcMar>
          </w:tcPr>
          <w:p>
            <w:pPr>
              <w:spacing w:after="0"/>
            </w:pPr>
            <w:r>
              <w:rPr>
                <w:sz w:val="17"/>
              </w:rPr>
              <w:t>Fokusaufsicht und risikobasierte Auswahl</w:t>
            </w:r>
          </w:p>
        </w:tc>
        <w:tc>
          <w:tcPr>
            <w:tcW w:type="dxa" w:w="3855"/>
            <w:vAlign w:val="center"/>
            <w:shd w:fill="F2F6FA"/>
            <w:tcMar>
              <w:top w:w="100" w:type="dxa"/>
              <w:start w:w="110" w:type="dxa"/>
              <w:bottom w:w="100" w:type="dxa"/>
              <w:end w:w="110" w:type="dxa"/>
            </w:tcMar>
          </w:tcPr>
          <w:p>
            <w:pPr>
              <w:spacing w:after="0"/>
            </w:pPr>
            <w:r>
              <w:rPr>
                <w:sz w:val="17"/>
              </w:rPr>
              <w:t>Mehr Tiefe bei besonders relevanten Fällen</w:t>
            </w:r>
          </w:p>
        </w:tc>
      </w:tr>
      <w:tr>
        <w:tc>
          <w:tcPr>
            <w:tcW w:type="dxa" w:w="2268"/>
            <w:vAlign w:val="center"/>
            <w:tcMar>
              <w:top w:w="100" w:type="dxa"/>
              <w:start w:w="110" w:type="dxa"/>
              <w:bottom w:w="100" w:type="dxa"/>
              <w:end w:w="110" w:type="dxa"/>
            </w:tcMar>
          </w:tcPr>
          <w:p>
            <w:pPr>
              <w:spacing w:after="0"/>
            </w:pPr>
            <w:r>
              <w:rPr>
                <w:sz w:val="17"/>
              </w:rPr>
              <w:t>Schwache Datenverknüpfung</w:t>
            </w:r>
          </w:p>
        </w:tc>
        <w:tc>
          <w:tcPr>
            <w:tcW w:type="dxa" w:w="2948"/>
            <w:vAlign w:val="center"/>
            <w:tcMar>
              <w:top w:w="100" w:type="dxa"/>
              <w:start w:w="110" w:type="dxa"/>
              <w:bottom w:w="100" w:type="dxa"/>
              <w:end w:w="110" w:type="dxa"/>
            </w:tcMar>
          </w:tcPr>
          <w:p>
            <w:pPr>
              <w:spacing w:after="0"/>
            </w:pPr>
            <w:r>
              <w:rPr>
                <w:sz w:val="17"/>
              </w:rPr>
              <w:t>Daten- und Technologieausbau</w:t>
            </w:r>
          </w:p>
        </w:tc>
        <w:tc>
          <w:tcPr>
            <w:tcW w:type="dxa" w:w="3855"/>
            <w:vAlign w:val="center"/>
            <w:tcMar>
              <w:top w:w="100" w:type="dxa"/>
              <w:start w:w="110" w:type="dxa"/>
              <w:bottom w:w="100" w:type="dxa"/>
              <w:end w:w="110" w:type="dxa"/>
            </w:tcMar>
          </w:tcPr>
          <w:p>
            <w:pPr>
              <w:spacing w:after="0"/>
            </w:pPr>
            <w:r>
              <w:rPr>
                <w:sz w:val="17"/>
              </w:rPr>
              <w:t>Frühere Mustererkennung</w:t>
            </w:r>
          </w:p>
        </w:tc>
      </w:tr>
      <w:tr>
        <w:tc>
          <w:tcPr>
            <w:tcW w:type="dxa" w:w="2268"/>
            <w:vAlign w:val="center"/>
            <w:shd w:fill="F2F6FA"/>
            <w:tcMar>
              <w:top w:w="100" w:type="dxa"/>
              <w:start w:w="110" w:type="dxa"/>
              <w:bottom w:w="100" w:type="dxa"/>
              <w:end w:w="110" w:type="dxa"/>
            </w:tcMar>
          </w:tcPr>
          <w:p>
            <w:pPr>
              <w:spacing w:after="0"/>
            </w:pPr>
            <w:r>
              <w:rPr>
                <w:sz w:val="17"/>
              </w:rPr>
              <w:t>Interessenkonflikte</w:t>
            </w:r>
          </w:p>
        </w:tc>
        <w:tc>
          <w:tcPr>
            <w:tcW w:type="dxa" w:w="2948"/>
            <w:vAlign w:val="center"/>
            <w:shd w:fill="F2F6FA"/>
            <w:tcMar>
              <w:top w:w="100" w:type="dxa"/>
              <w:start w:w="110" w:type="dxa"/>
              <w:bottom w:w="100" w:type="dxa"/>
              <w:end w:w="110" w:type="dxa"/>
            </w:tcMar>
          </w:tcPr>
          <w:p>
            <w:pPr>
              <w:spacing w:after="0"/>
            </w:pPr>
            <w:r>
              <w:rPr>
                <w:sz w:val="17"/>
              </w:rPr>
              <w:t>Strengere Regeln für private Geschäfte</w:t>
            </w:r>
          </w:p>
        </w:tc>
        <w:tc>
          <w:tcPr>
            <w:tcW w:type="dxa" w:w="3855"/>
            <w:vAlign w:val="center"/>
            <w:shd w:fill="F2F6FA"/>
            <w:tcMar>
              <w:top w:w="100" w:type="dxa"/>
              <w:start w:w="110" w:type="dxa"/>
              <w:bottom w:w="100" w:type="dxa"/>
              <w:end w:w="110" w:type="dxa"/>
            </w:tcMar>
          </w:tcPr>
          <w:p>
            <w:pPr>
              <w:spacing w:after="0"/>
            </w:pPr>
            <w:r>
              <w:rPr>
                <w:sz w:val="17"/>
              </w:rPr>
              <w:t>Mehr institutionelle Glaubwürdigkeit</w:t>
            </w:r>
          </w:p>
        </w:tc>
      </w:tr>
      <w:tr>
        <w:tc>
          <w:tcPr>
            <w:tcW w:type="dxa" w:w="2268"/>
            <w:vAlign w:val="center"/>
            <w:tcMar>
              <w:top w:w="100" w:type="dxa"/>
              <w:start w:w="110" w:type="dxa"/>
              <w:bottom w:w="100" w:type="dxa"/>
              <w:end w:w="110" w:type="dxa"/>
            </w:tcMar>
          </w:tcPr>
          <w:p>
            <w:pPr>
              <w:spacing w:after="0"/>
            </w:pPr>
            <w:r>
              <w:rPr>
                <w:sz w:val="17"/>
              </w:rPr>
              <w:t>Distanz zum Vertriebsalltag</w:t>
            </w:r>
          </w:p>
        </w:tc>
        <w:tc>
          <w:tcPr>
            <w:tcW w:type="dxa" w:w="2948"/>
            <w:vAlign w:val="center"/>
            <w:tcMar>
              <w:top w:w="100" w:type="dxa"/>
              <w:start w:w="110" w:type="dxa"/>
              <w:bottom w:w="100" w:type="dxa"/>
              <w:end w:w="110" w:type="dxa"/>
            </w:tcMar>
          </w:tcPr>
          <w:p>
            <w:pPr>
              <w:spacing w:after="0"/>
            </w:pPr>
            <w:r>
              <w:rPr>
                <w:sz w:val="17"/>
              </w:rPr>
              <w:t>Testkäufe und Marktmonitoring</w:t>
            </w:r>
          </w:p>
        </w:tc>
        <w:tc>
          <w:tcPr>
            <w:tcW w:type="dxa" w:w="3855"/>
            <w:vAlign w:val="center"/>
            <w:tcMar>
              <w:top w:w="100" w:type="dxa"/>
              <w:start w:w="110" w:type="dxa"/>
              <w:bottom w:w="100" w:type="dxa"/>
              <w:end w:w="110" w:type="dxa"/>
            </w:tcMar>
          </w:tcPr>
          <w:p>
            <w:pPr>
              <w:spacing w:after="0"/>
            </w:pPr>
            <w:r>
              <w:rPr>
                <w:sz w:val="17"/>
              </w:rPr>
              <w:t>Realistischeres Bild der Kundenpraxis</w:t>
            </w:r>
          </w:p>
        </w:tc>
      </w:tr>
    </w:tbl>
    <w:p>
      <w:pPr>
        <w:widowControl/>
        <w:spacing w:after="20"/>
      </w:pPr>
    </w:p>
    <w:p>
      <w:pPr>
        <w:pStyle w:val="Heading2"/>
        <w:keepNext/>
        <w:widowControl/>
      </w:pPr>
      <w:r>
        <w:t>13  Digitalisierung Kryptowerte und neue Anbieter</w:t>
      </w:r>
    </w:p>
    <w:p>
      <w:pPr>
        <w:widowControl/>
      </w:pPr>
      <w:r>
        <w:t>Digitalisierung verändert Gegenstand und Methode der Aufsicht. Mobile Broker, Robo-Advice, Banking-as-a-Service, Cloud-Infrastruktur, Plattformökonomie und künstliche Intelligenz verkürzen Produktzyklen. Nutzeroberflächen können Kosten und Risiken verständlich machen, aber auch durch spielerische Gestaltung, Ranglisten, Push-Mitteilungen oder voreingestellte Entscheidungen zum häufigen Handel verleiten. Verhaltensaufsicht muss daher nicht nur Dokumente, sondern digitale Entscheidungsarchitekturen verstehen.</w:t>
      </w:r>
    </w:p>
    <w:p>
      <w:pPr>
        <w:widowControl/>
      </w:pPr>
      <w:r>
        <w:t>Deutschland nahm Kryptoverwahrgeschäft früh in den erlaubnispflichtigen Bereich auf. Mit der europäischen Verordnung über Märkte für Kryptowerte, MiCA, entsteht ein weitgehend harmonisierter Rahmen für Emittenten bestimmter Kryptowerte und Kryptowerte-Dienstleister. Zuständigkeiten verteilen sich zwischen nationalen Behörden und europäischen Stellen. Übergangsregeln und die genaue Einordnung einzelner Token bleiben praktisch anspruchsvoll.</w:t>
      </w:r>
    </w:p>
    <w:p>
      <w:pPr>
        <w:widowControl/>
      </w:pPr>
      <w:r>
        <w:t>Eine BaFin-Erlaubnis für einen Dienstleister beseitigt nicht die Markt-, Technologie- oder Verwahrrisiken eines Kryptowerts. Viele Token haben keine klassische Einlagensicherung; Kurse können extrem schwanken; Transaktionen sind häufig irreversibel. Bei dezentralen Strukturen, ausländischen Plattformen und anonymen Betreibern stößt nationale Aufsicht an Grenzen. Warnungen, Registerprüfung und internationale Zusammenarbeit sind deshalb besonders wichtig.</w:t>
      </w:r>
    </w:p>
    <w:p>
      <w:pPr>
        <w:widowControl/>
      </w:pPr>
      <w:r>
        <w:t>Künstliche Intelligenz kann Betrugserkennung, Dokumentenanalyse und Risikoklassifikation verbessern. Gleichzeitig entstehen Modellrisiken, Diskriminierung, Intransparenz und Abhängigkeit von wenigen Technologieanbietern. Für die BaFin wird entscheidend, Ergebnisse technisch prüfen zu können, ohne die Verantwortung des beaufsichtigten Unternehmens auf das Modell oder den Cloud-Anbieter abwandern zu lassen.</w:t>
      </w:r>
    </w:p>
    <w:p>
      <w:pPr>
        <w:pStyle w:val="Heading2"/>
        <w:keepNext/>
        <w:widowControl/>
      </w:pPr>
      <w:r>
        <w:t>14  Nachhaltigkeit und Greenwashing</w:t>
      </w:r>
    </w:p>
    <w:p>
      <w:pPr>
        <w:widowControl/>
      </w:pPr>
      <w:r>
        <w:t>Nachhaltigkeitsversprechen sind zu einem Aufsichtsthema geworden, weil Bezeichnungen wie grün, nachhaltig oder wirkungsorientiert Anlageentscheidungen prägen. Uneinheitliche Daten, komplexe Lieferketten und unterschiedliche Nachhaltigkeitsziele erschweren Vergleiche. Greenwashing liegt nicht nur in einer objektiv falschen Behauptung; auch selektive, übertriebene oder unklare Darstellung kann Anleger täuschen.</w:t>
      </w:r>
    </w:p>
    <w:p>
      <w:pPr>
        <w:widowControl/>
      </w:pPr>
      <w:r>
        <w:t>Europäische Offenlegungs- und Taxonomieregeln sollen Transparenz erhöhen, haben aber eine neue Fachsprache geschaffen. Kategorien und Kennzahlen sind keine automatische Qualitätsnote. Ein nachhaltiges Produkt kann teuer, schlecht diversifiziert oder verlustreich sein. Umgekehrt kann ein finanziell solides Produkt bestimmte ökologische Präferenzen nicht erfüllen. Aufsicht muss korrekte Information und Governance prüfen, nicht eine einzige gesellschaftliche Definition von Nachhaltigkeit festlegen.</w:t>
      </w:r>
    </w:p>
    <w:p>
      <w:pPr>
        <w:widowControl/>
      </w:pPr>
      <w:r>
        <w:t>Für Verbraucher ist die Trennung dreier Fragen hilfreich: Welche Nachhaltigkeitswirkung wird behauptet? Wie wird sie gemessen? Welche finanziellen Risiken, Kosten und Zielkonflikte bestehen unabhängig davon? Die BaFin kann irreführende Praktiken adressieren, aber nicht garantieren, dass jede Portfolioentscheidung der persönlichen Wertvorstellung des Anlegers entspricht.</w:t>
      </w:r>
    </w:p>
    <w:p>
      <w:pPr>
        <w:pStyle w:val="Heading2"/>
        <w:keepNext/>
        <w:widowControl/>
      </w:pPr>
      <w:r>
        <w:t>15  Operationale Resilienz Cyberrisiken und DORA</w:t>
      </w:r>
    </w:p>
    <w:p>
      <w:pPr>
        <w:widowControl/>
      </w:pPr>
      <w:r>
        <w:t>Finanzstabilität hängt heute von IT-Systemen, Daten, Identitäten und ausgelagerten Diensten ab. Ein Institut kann bilanziell gesund sein und dennoch durch Ransomware, Systemausfall oder fehlerhafte Software vorübergehend handlungsunfähig werden. Verbraucher spüren dies unmittelbar: Karten funktionieren nicht, Konten sind nicht erreichbar oder persönliche Daten geraten in Gefahr.</w:t>
      </w:r>
    </w:p>
    <w:p>
      <w:pPr>
        <w:widowControl/>
      </w:pPr>
      <w:r>
        <w:t>Die europäische DORA-Verordnung schafft seit 2025 einen sektorweiten Rahmen für das Management von Informations- und Kommunikationstechnologierisiken. Sie umfasst Governance, Vorfallsmeldung, Resilienztests, Drittparteienrisiken und die europäische Überwachung kritischer IT-Drittdienstleister. Für die BaFin bedeutet dies zusätzliche Koordination und eine stärkere technische Dimension der Aufsicht.</w:t>
      </w:r>
    </w:p>
    <w:p>
      <w:pPr>
        <w:widowControl/>
      </w:pPr>
      <w:r>
        <w:t>Resilienz ist mehr als Cybersicherheit. Dazu gehören Notfallpläne, Datenwiederherstellung, alternative Kommunikationswege, belastbare Dienstleistersteuerung und geübte Krisenentscheidungen. Aus Verbrauchersicht sind schnelle Information, Zugang zu notwendigen Zahlungen und ein funktionierendes Beschwerdemanagement ebenso wichtig wie die technische Behebung.</w:t>
      </w:r>
    </w:p>
    <w:p>
      <w:pPr>
        <w:pStyle w:val="Heading1"/>
        <w:keepNext/>
        <w:widowControl/>
      </w:pPr>
      <w:r>
        <w:t>Teil IV  Grenzen Wirkung und Zukunft</w:t>
      </w:r>
    </w:p>
    <w:p>
      <w:pPr>
        <w:pStyle w:val="Heading2"/>
        <w:keepNext/>
        <w:widowControl/>
      </w:pPr>
      <w:r>
        <w:t>16  Was die BaFin leisten kann und was nicht</w:t>
      </w:r>
    </w:p>
    <w:p>
      <w:pPr>
        <w:widowControl/>
      </w:pPr>
      <w:r>
        <w:t>Die Stärke der BaFin liegt in hoheitlicher Marktaufsicht. Sie kann Erlaubnisse erteilen und entziehen, Informationen verlangen, Prüfungen anordnen, Geschäftsleiter beanstanden, Kapital- und Organisationsmaßnahmen verlangen, unerlaubte Geschäfte untersagen, Abwicklungsaufgaben wahrnehmen, Marktmissbrauch untersuchen und Verbrauchermaßnahmen ergreifen. Die genaue Befugnis hängt vom jeweiligen Fachgesetz ab.</w:t>
      </w:r>
    </w:p>
    <w:p>
      <w:pPr>
        <w:widowControl/>
      </w:pPr>
      <w:r>
        <w:t>Ihre wichtigste Grenze steht im FinDAG: Die BaFin nimmt Aufgaben und Befugnisse nur im öffentlichen Interesse wahr. Daraus folgt, dass Aufsicht nicht als persönlicher Schutzvertrag zwischen Behörde und Kunde verstanden werden darf. Individuelle Ansprüche ergeben sich aus Vertrag, Deliktsrecht, spezialgesetzlicher Haftung oder anderen Normen und werden typischerweise durch Unternehmen, Ombudsstellen oder Gerichte geklärt.</w:t>
      </w:r>
    </w:p>
    <w:p>
      <w:pPr>
        <w:widowControl/>
      </w:pPr>
      <w:r>
        <w:t>Auch eine lückenlose Aufsicht ist unmöglich. Unternehmen können täuschen, Daten können falsch sein, internationale Strukturen die Durchsetzung erschweren. Aufsicht reduziert Eintrittswahrscheinlichkeit und Schadensumfang; sie eliminiert Risiko nicht. Ihre Qualität zeigt sich in Priorisierung, professioneller Skepsis, Geschwindigkeit, Kooperation, Transparenz und der Fähigkeit, aus Fehlern zu lernen.</w:t>
      </w:r>
    </w:p>
    <w:p>
      <w:pPr>
        <w:pStyle w:val="Heading3"/>
        <w:keepNext/>
        <w:widowControl/>
      </w:pPr>
      <w:r>
        <w:t>Was ein BaFin-Status bedeutet</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173"/>
        <w:gridCol w:w="3173"/>
        <w:gridCol w:w="3173"/>
      </w:tblGrid>
      <w:tr>
        <w:tc>
          <w:tcPr>
            <w:tcW w:type="dxa" w:w="2268"/>
            <w:shd w:fill="17365D"/>
            <w:vAlign w:val="center"/>
            <w:tcMar>
              <w:top w:w="100" w:type="dxa"/>
              <w:start w:w="110" w:type="dxa"/>
              <w:bottom w:w="100" w:type="dxa"/>
              <w:end w:w="110" w:type="dxa"/>
            </w:tcMar>
          </w:tcPr>
          <w:p>
            <w:r>
              <w:rPr>
                <w:b/>
                <w:color w:val="FFFFFF"/>
                <w:sz w:val="18"/>
              </w:rPr>
              <w:t>Aussage</w:t>
            </w:r>
          </w:p>
        </w:tc>
        <w:tc>
          <w:tcPr>
            <w:tcW w:type="dxa" w:w="3288"/>
            <w:shd w:fill="17365D"/>
            <w:vAlign w:val="center"/>
            <w:tcMar>
              <w:top w:w="100" w:type="dxa"/>
              <w:start w:w="110" w:type="dxa"/>
              <w:bottom w:w="100" w:type="dxa"/>
              <w:end w:w="110" w:type="dxa"/>
            </w:tcMar>
          </w:tcPr>
          <w:p>
            <w:r>
              <w:rPr>
                <w:b/>
                <w:color w:val="FFFFFF"/>
                <w:sz w:val="18"/>
              </w:rPr>
              <w:t>Was sie bedeutet</w:t>
            </w:r>
          </w:p>
        </w:tc>
        <w:tc>
          <w:tcPr>
            <w:tcW w:type="dxa" w:w="3515"/>
            <w:shd w:fill="17365D"/>
            <w:vAlign w:val="center"/>
            <w:tcMar>
              <w:top w:w="100" w:type="dxa"/>
              <w:start w:w="110" w:type="dxa"/>
              <w:bottom w:w="100" w:type="dxa"/>
              <w:end w:w="110" w:type="dxa"/>
            </w:tcMar>
          </w:tcPr>
          <w:p>
            <w:r>
              <w:rPr>
                <w:b/>
                <w:color w:val="FFFFFF"/>
                <w:sz w:val="18"/>
              </w:rPr>
              <w:t>Was sie nicht bedeutet</w:t>
            </w:r>
          </w:p>
        </w:tc>
      </w:tr>
      <w:tr>
        <w:tc>
          <w:tcPr>
            <w:tcW w:type="dxa" w:w="2268"/>
            <w:vAlign w:val="center"/>
            <w:tcMar>
              <w:top w:w="100" w:type="dxa"/>
              <w:start w:w="110" w:type="dxa"/>
              <w:bottom w:w="100" w:type="dxa"/>
              <w:end w:w="110" w:type="dxa"/>
            </w:tcMar>
          </w:tcPr>
          <w:p>
            <w:pPr>
              <w:spacing w:after="0"/>
            </w:pPr>
            <w:r>
              <w:rPr>
                <w:sz w:val="17"/>
              </w:rPr>
              <w:t>Anbieter ist beaufsichtigt</w:t>
            </w:r>
          </w:p>
        </w:tc>
        <w:tc>
          <w:tcPr>
            <w:tcW w:type="dxa" w:w="3288"/>
            <w:vAlign w:val="center"/>
            <w:tcMar>
              <w:top w:w="100" w:type="dxa"/>
              <w:start w:w="110" w:type="dxa"/>
              <w:bottom w:w="100" w:type="dxa"/>
              <w:end w:w="110" w:type="dxa"/>
            </w:tcMar>
          </w:tcPr>
          <w:p>
            <w:pPr>
              <w:spacing w:after="0"/>
            </w:pPr>
            <w:r>
              <w:rPr>
                <w:sz w:val="17"/>
              </w:rPr>
              <w:t>Bestimmte erlaubnispflichtige Tätigkeit unterliegt Aufsicht</w:t>
            </w:r>
          </w:p>
        </w:tc>
        <w:tc>
          <w:tcPr>
            <w:tcW w:type="dxa" w:w="3515"/>
            <w:vAlign w:val="center"/>
            <w:tcMar>
              <w:top w:w="100" w:type="dxa"/>
              <w:start w:w="110" w:type="dxa"/>
              <w:bottom w:w="100" w:type="dxa"/>
              <w:end w:w="110" w:type="dxa"/>
            </w:tcMar>
          </w:tcPr>
          <w:p>
            <w:pPr>
              <w:spacing w:after="0"/>
            </w:pPr>
            <w:r>
              <w:rPr>
                <w:sz w:val="17"/>
              </w:rPr>
              <w:t>Alle Konzernteile und Produkte sind gleich beaufsichtigt</w:t>
            </w:r>
          </w:p>
        </w:tc>
      </w:tr>
      <w:tr>
        <w:tc>
          <w:tcPr>
            <w:tcW w:type="dxa" w:w="2268"/>
            <w:vAlign w:val="center"/>
            <w:shd w:fill="F2F6FA"/>
            <w:tcMar>
              <w:top w:w="100" w:type="dxa"/>
              <w:start w:w="110" w:type="dxa"/>
              <w:bottom w:w="100" w:type="dxa"/>
              <w:end w:w="110" w:type="dxa"/>
            </w:tcMar>
          </w:tcPr>
          <w:p>
            <w:pPr>
              <w:spacing w:after="0"/>
            </w:pPr>
            <w:r>
              <w:rPr>
                <w:sz w:val="17"/>
              </w:rPr>
              <w:t>Prospekt ist gebilligt</w:t>
            </w:r>
          </w:p>
        </w:tc>
        <w:tc>
          <w:tcPr>
            <w:tcW w:type="dxa" w:w="3288"/>
            <w:vAlign w:val="center"/>
            <w:shd w:fill="F2F6FA"/>
            <w:tcMar>
              <w:top w:w="100" w:type="dxa"/>
              <w:start w:w="110" w:type="dxa"/>
              <w:bottom w:w="100" w:type="dxa"/>
              <w:end w:w="110" w:type="dxa"/>
            </w:tcMar>
          </w:tcPr>
          <w:p>
            <w:pPr>
              <w:spacing w:after="0"/>
            </w:pPr>
            <w:r>
              <w:rPr>
                <w:sz w:val="17"/>
              </w:rPr>
              <w:t>Formale gesetzliche Prospektanforderungen wurden geprüft</w:t>
            </w:r>
          </w:p>
        </w:tc>
        <w:tc>
          <w:tcPr>
            <w:tcW w:type="dxa" w:w="3515"/>
            <w:vAlign w:val="center"/>
            <w:shd w:fill="F2F6FA"/>
            <w:tcMar>
              <w:top w:w="100" w:type="dxa"/>
              <w:start w:w="110" w:type="dxa"/>
              <w:bottom w:w="100" w:type="dxa"/>
              <w:end w:w="110" w:type="dxa"/>
            </w:tcMar>
          </w:tcPr>
          <w:p>
            <w:pPr>
              <w:spacing w:after="0"/>
            </w:pPr>
            <w:r>
              <w:rPr>
                <w:sz w:val="17"/>
              </w:rPr>
              <w:t>Die Anlage ist wirtschaftlich geprüft oder empfohlen</w:t>
            </w:r>
          </w:p>
        </w:tc>
      </w:tr>
      <w:tr>
        <w:tc>
          <w:tcPr>
            <w:tcW w:type="dxa" w:w="2268"/>
            <w:vAlign w:val="center"/>
            <w:tcMar>
              <w:top w:w="100" w:type="dxa"/>
              <w:start w:w="110" w:type="dxa"/>
              <w:bottom w:w="100" w:type="dxa"/>
              <w:end w:w="110" w:type="dxa"/>
            </w:tcMar>
          </w:tcPr>
          <w:p>
            <w:pPr>
              <w:spacing w:after="0"/>
            </w:pPr>
            <w:r>
              <w:rPr>
                <w:sz w:val="17"/>
              </w:rPr>
              <w:t>Produkt ist nicht verboten</w:t>
            </w:r>
          </w:p>
        </w:tc>
        <w:tc>
          <w:tcPr>
            <w:tcW w:type="dxa" w:w="3288"/>
            <w:vAlign w:val="center"/>
            <w:tcMar>
              <w:top w:w="100" w:type="dxa"/>
              <w:start w:w="110" w:type="dxa"/>
              <w:bottom w:w="100" w:type="dxa"/>
              <w:end w:w="110" w:type="dxa"/>
            </w:tcMar>
          </w:tcPr>
          <w:p>
            <w:pPr>
              <w:spacing w:after="0"/>
            </w:pPr>
            <w:r>
              <w:rPr>
                <w:sz w:val="17"/>
              </w:rPr>
              <w:t>Kein geltendes spezifisches Verbot erfasst es</w:t>
            </w:r>
          </w:p>
        </w:tc>
        <w:tc>
          <w:tcPr>
            <w:tcW w:type="dxa" w:w="3515"/>
            <w:vAlign w:val="center"/>
            <w:tcMar>
              <w:top w:w="100" w:type="dxa"/>
              <w:start w:w="110" w:type="dxa"/>
              <w:bottom w:w="100" w:type="dxa"/>
              <w:end w:w="110" w:type="dxa"/>
            </w:tcMar>
          </w:tcPr>
          <w:p>
            <w:pPr>
              <w:spacing w:after="0"/>
            </w:pPr>
            <w:r>
              <w:rPr>
                <w:sz w:val="17"/>
              </w:rPr>
              <w:t>Das Produkt ist geeignet, sicher oder preiswert</w:t>
            </w:r>
          </w:p>
        </w:tc>
      </w:tr>
      <w:tr>
        <w:tc>
          <w:tcPr>
            <w:tcW w:type="dxa" w:w="2268"/>
            <w:vAlign w:val="center"/>
            <w:shd w:fill="F2F6FA"/>
            <w:tcMar>
              <w:top w:w="100" w:type="dxa"/>
              <w:start w:w="110" w:type="dxa"/>
              <w:bottom w:w="100" w:type="dxa"/>
              <w:end w:w="110" w:type="dxa"/>
            </w:tcMar>
          </w:tcPr>
          <w:p>
            <w:pPr>
              <w:spacing w:after="0"/>
            </w:pPr>
            <w:r>
              <w:rPr>
                <w:sz w:val="17"/>
              </w:rPr>
              <w:t>BaFin bearbeitet Beschwerde</w:t>
            </w:r>
          </w:p>
        </w:tc>
        <w:tc>
          <w:tcPr>
            <w:tcW w:type="dxa" w:w="3288"/>
            <w:vAlign w:val="center"/>
            <w:shd w:fill="F2F6FA"/>
            <w:tcMar>
              <w:top w:w="100" w:type="dxa"/>
              <w:start w:w="110" w:type="dxa"/>
              <w:bottom w:w="100" w:type="dxa"/>
              <w:end w:w="110" w:type="dxa"/>
            </w:tcMar>
          </w:tcPr>
          <w:p>
            <w:pPr>
              <w:spacing w:after="0"/>
            </w:pPr>
            <w:r>
              <w:rPr>
                <w:sz w:val="17"/>
              </w:rPr>
              <w:t>Aufsichtsrechtliche Prüfung ist möglich</w:t>
            </w:r>
          </w:p>
        </w:tc>
        <w:tc>
          <w:tcPr>
            <w:tcW w:type="dxa" w:w="3515"/>
            <w:vAlign w:val="center"/>
            <w:shd w:fill="F2F6FA"/>
            <w:tcMar>
              <w:top w:w="100" w:type="dxa"/>
              <w:start w:w="110" w:type="dxa"/>
              <w:bottom w:w="100" w:type="dxa"/>
              <w:end w:w="110" w:type="dxa"/>
            </w:tcMar>
          </w:tcPr>
          <w:p>
            <w:pPr>
              <w:spacing w:after="0"/>
            </w:pPr>
            <w:r>
              <w:rPr>
                <w:sz w:val="17"/>
              </w:rPr>
              <w:t>Individueller Anspruch wird zugesprochen</w:t>
            </w:r>
          </w:p>
        </w:tc>
      </w:tr>
      <w:tr>
        <w:tc>
          <w:tcPr>
            <w:tcW w:type="dxa" w:w="2268"/>
            <w:vAlign w:val="center"/>
            <w:tcMar>
              <w:top w:w="100" w:type="dxa"/>
              <w:start w:w="110" w:type="dxa"/>
              <w:bottom w:w="100" w:type="dxa"/>
              <w:end w:w="110" w:type="dxa"/>
            </w:tcMar>
          </w:tcPr>
          <w:p>
            <w:pPr>
              <w:spacing w:after="0"/>
            </w:pPr>
            <w:r>
              <w:rPr>
                <w:sz w:val="17"/>
              </w:rPr>
              <w:t>Warnung liegt nicht vor</w:t>
            </w:r>
          </w:p>
        </w:tc>
        <w:tc>
          <w:tcPr>
            <w:tcW w:type="dxa" w:w="3288"/>
            <w:vAlign w:val="center"/>
            <w:tcMar>
              <w:top w:w="100" w:type="dxa"/>
              <w:start w:w="110" w:type="dxa"/>
              <w:bottom w:w="100" w:type="dxa"/>
              <w:end w:w="110" w:type="dxa"/>
            </w:tcMar>
          </w:tcPr>
          <w:p>
            <w:pPr>
              <w:spacing w:after="0"/>
            </w:pPr>
            <w:r>
              <w:rPr>
                <w:sz w:val="17"/>
              </w:rPr>
              <w:t>Keine veröffentlichte Warnung wurde gefunden</w:t>
            </w:r>
          </w:p>
        </w:tc>
        <w:tc>
          <w:tcPr>
            <w:tcW w:type="dxa" w:w="3515"/>
            <w:vAlign w:val="center"/>
            <w:tcMar>
              <w:top w:w="100" w:type="dxa"/>
              <w:start w:w="110" w:type="dxa"/>
              <w:bottom w:w="100" w:type="dxa"/>
              <w:end w:w="110" w:type="dxa"/>
            </w:tcMar>
          </w:tcPr>
          <w:p>
            <w:pPr>
              <w:spacing w:after="0"/>
            </w:pPr>
            <w:r>
              <w:rPr>
                <w:sz w:val="17"/>
              </w:rPr>
              <w:t>Der Anbieter ist seriös oder erlaubnisfrei tätig</w:t>
            </w:r>
          </w:p>
        </w:tc>
      </w:tr>
    </w:tbl>
    <w:p>
      <w:pPr>
        <w:widowControl/>
        <w:spacing w:after="20"/>
      </w:pPr>
    </w:p>
    <w:p>
      <w:pPr>
        <w:pStyle w:val="Heading2"/>
        <w:keepNext/>
        <w:widowControl/>
      </w:pPr>
      <w:r>
        <w:t>17  Die BaFin im europäischen Aufsichtsnetz</w:t>
      </w:r>
    </w:p>
    <w:p>
      <w:pPr>
        <w:widowControl/>
      </w:pPr>
      <w:r>
        <w:t>Deutsche Finanzaufsicht lässt sich nicht mehr isoliert verstehen. Bankenregulierung folgt weitgehend europäischem Recht; bedeutende Institute werden im SSM beaufsichtigt. ESMA koordiniert Kapitalmarktregeln und kann in bestimmten Bereichen unmittelbar handeln. EIOPA prägt Versicherungsaufsicht, EBA Bankenstandards. Nationale Behörden setzen viele Regeln durch, beteiligen sich an gemeinsamen Teams und liefern Daten.</w:t>
      </w:r>
    </w:p>
    <w:p>
      <w:pPr>
        <w:widowControl/>
      </w:pPr>
      <w:r>
        <w:t>Für Verbraucher bietet Harmonisierung Vorteile: vergleichbarere Mindeststandards, grenzüberschreitende Zusammenarbeit und gemeinsame Produktinterventionen. Gleichzeitig erschwert sie die Zuordnung. Ein in Deutschland angebotener Dienst kann von einer Behörde eines anderen Mitgliedstaats zugelassen sein. Das Herkunftslandprinzip und Aufgabenteilungen verlangen koordinierte Beschwerden und klare öffentliche Register.</w:t>
      </w:r>
    </w:p>
    <w:p>
      <w:pPr>
        <w:widowControl/>
      </w:pPr>
      <w:r>
        <w:t>Neue europäische Behörden und Regime vertiefen diesen Trend. Die europäische Geldwäscheaufsicht AMLA, MiCA und DORA verschieben Aufgaben und Kooperationspflichten. Die BaFin wird dadurch nicht bedeutungslos. Sie bleibt nahe am deutschen Markt, kennt Institute und Verbraucherbeschwerden und vollzieht große Teile des europäischen Rechts. Ihre Rolle wandelt sich von nationaler Alleinzuständigkeit zur Mitverantwortung in Netzwerken.</w:t>
      </w:r>
    </w:p>
    <w:p>
      <w:pPr>
        <w:pStyle w:val="Heading2"/>
        <w:keepNext/>
        <w:widowControl/>
      </w:pPr>
      <w:r>
        <w:t>18  Vergleich europäischer Finanzaufsichten</w:t>
      </w:r>
    </w:p>
    <w:p>
      <w:pPr>
        <w:widowControl/>
      </w:pPr>
      <w:r>
        <w:t>Ein Vergleich von Aufsichtsbehörden darf nicht bei der Zahl ihrer Befugnisse stehen bleiben. Rechtsordnung, Gerichtsverfahren, Behördenaufbau und Marktstruktur unterscheiden sich. Manche Staaten trennen Solvenz- und Verhaltensaufsicht, andere bündeln beides. Maßgeblich ist die gesamte Durchsetzungskette: Erkennen, Untersuchen, vorläufig Eingreifen, endgültig entscheiden, veröffentlichen und Schäden ausgleichen.</w:t>
      </w:r>
    </w:p>
    <w:p>
      <w:pPr>
        <w:widowControl/>
      </w:pPr>
      <w:r>
        <w:t>Deutschland folgt mit der BaFin weitgehend dem integrierten Modell, ergänzt durch Bundesbank, EZB, Landesbörsenaufsicht und europäische Behörden. Frankreich teilt Aufgaben vor allem zwischen AMF für Kapitalmärkte und ACPR für Banken und Versicherungen. In den Niederlanden besteht ein Twin-Peaks-Modell mit DNB für finanzielle Solidität und AFM für Marktverhalten. Das Vereinigte Königreich trennt primär zwischen Prudential Regulation Authority und Financial Conduct Authority. Österreich bündelt viele Aufgaben in der FMA. Die Schweiz verfügt mit FINMA über eine integrierte Aufsicht, gehört aber nicht zur EU und dient hier als Außervergleich.</w:t>
      </w:r>
    </w:p>
    <w:p>
      <w:pPr>
        <w:pStyle w:val="Heading3"/>
        <w:keepNext/>
        <w:widowControl/>
      </w:pPr>
      <w:r>
        <w:t>Vergleich der Maßnahmenkompetenz</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380"/>
        <w:gridCol w:w="2380"/>
        <w:gridCol w:w="2380"/>
        <w:gridCol w:w="2380"/>
      </w:tblGrid>
      <w:tr>
        <w:tc>
          <w:tcPr>
            <w:tcW w:type="dxa" w:w="1417"/>
            <w:shd w:fill="17365D"/>
            <w:vAlign w:val="center"/>
            <w:tcMar>
              <w:top w:w="100" w:type="dxa"/>
              <w:start w:w="110" w:type="dxa"/>
              <w:bottom w:w="100" w:type="dxa"/>
              <w:end w:w="110" w:type="dxa"/>
            </w:tcMar>
          </w:tcPr>
          <w:p>
            <w:r>
              <w:rPr>
                <w:b/>
                <w:color w:val="FFFFFF"/>
                <w:sz w:val="18"/>
              </w:rPr>
              <w:t>Behörde</w:t>
            </w:r>
          </w:p>
        </w:tc>
        <w:tc>
          <w:tcPr>
            <w:tcW w:type="dxa" w:w="1814"/>
            <w:shd w:fill="17365D"/>
            <w:vAlign w:val="center"/>
            <w:tcMar>
              <w:top w:w="100" w:type="dxa"/>
              <w:start w:w="110" w:type="dxa"/>
              <w:bottom w:w="100" w:type="dxa"/>
              <w:end w:w="110" w:type="dxa"/>
            </w:tcMar>
          </w:tcPr>
          <w:p>
            <w:r>
              <w:rPr>
                <w:b/>
                <w:color w:val="FFFFFF"/>
                <w:sz w:val="18"/>
              </w:rPr>
              <w:t>Struktur</w:t>
            </w:r>
          </w:p>
        </w:tc>
        <w:tc>
          <w:tcPr>
            <w:tcW w:type="dxa" w:w="3515"/>
            <w:shd w:fill="17365D"/>
            <w:vAlign w:val="center"/>
            <w:tcMar>
              <w:top w:w="100" w:type="dxa"/>
              <w:start w:w="110" w:type="dxa"/>
              <w:bottom w:w="100" w:type="dxa"/>
              <w:end w:w="110" w:type="dxa"/>
            </w:tcMar>
          </w:tcPr>
          <w:p>
            <w:r>
              <w:rPr>
                <w:b/>
                <w:color w:val="FFFFFF"/>
                <w:sz w:val="18"/>
              </w:rPr>
              <w:t>Typische Maßnahmen</w:t>
            </w:r>
          </w:p>
        </w:tc>
        <w:tc>
          <w:tcPr>
            <w:tcW w:type="dxa" w:w="2381"/>
            <w:shd w:fill="17365D"/>
            <w:vAlign w:val="center"/>
            <w:tcMar>
              <w:top w:w="100" w:type="dxa"/>
              <w:start w:w="110" w:type="dxa"/>
              <w:bottom w:w="100" w:type="dxa"/>
              <w:end w:w="110" w:type="dxa"/>
            </w:tcMar>
          </w:tcPr>
          <w:p>
            <w:r>
              <w:rPr>
                <w:b/>
                <w:color w:val="FFFFFF"/>
                <w:sz w:val="18"/>
              </w:rPr>
              <w:t>Verbraucherbezug</w:t>
            </w:r>
          </w:p>
        </w:tc>
      </w:tr>
      <w:tr>
        <w:tc>
          <w:tcPr>
            <w:tcW w:type="dxa" w:w="1417"/>
            <w:vAlign w:val="center"/>
            <w:tcMar>
              <w:top w:w="100" w:type="dxa"/>
              <w:start w:w="110" w:type="dxa"/>
              <w:bottom w:w="100" w:type="dxa"/>
              <w:end w:w="110" w:type="dxa"/>
            </w:tcMar>
          </w:tcPr>
          <w:p>
            <w:pPr>
              <w:spacing w:after="0"/>
            </w:pPr>
            <w:r>
              <w:rPr>
                <w:sz w:val="17"/>
              </w:rPr>
              <w:t>BaFin Deutschland</w:t>
            </w:r>
          </w:p>
        </w:tc>
        <w:tc>
          <w:tcPr>
            <w:tcW w:type="dxa" w:w="1814"/>
            <w:vAlign w:val="center"/>
            <w:tcMar>
              <w:top w:w="100" w:type="dxa"/>
              <w:start w:w="110" w:type="dxa"/>
              <w:bottom w:w="100" w:type="dxa"/>
              <w:end w:w="110" w:type="dxa"/>
            </w:tcMar>
          </w:tcPr>
          <w:p>
            <w:pPr>
              <w:spacing w:after="0"/>
            </w:pPr>
            <w:r>
              <w:rPr>
                <w:sz w:val="17"/>
              </w:rPr>
              <w:t>Integriert; Banken teils mit EZB und Bundesbank</w:t>
            </w:r>
          </w:p>
        </w:tc>
        <w:tc>
          <w:tcPr>
            <w:tcW w:type="dxa" w:w="3515"/>
            <w:vAlign w:val="center"/>
            <w:tcMar>
              <w:top w:w="100" w:type="dxa"/>
              <w:start w:w="110" w:type="dxa"/>
              <w:bottom w:w="100" w:type="dxa"/>
              <w:end w:w="110" w:type="dxa"/>
            </w:tcMar>
          </w:tcPr>
          <w:p>
            <w:pPr>
              <w:spacing w:after="0"/>
            </w:pPr>
            <w:r>
              <w:rPr>
                <w:sz w:val="17"/>
              </w:rPr>
              <w:t>Anordnungen, Erlaubnismaßnahmen, Produktintervention, Untersagung unerlaubter Geschäfte, Bußgelder, Warnungen</w:t>
            </w:r>
          </w:p>
        </w:tc>
        <w:tc>
          <w:tcPr>
            <w:tcW w:type="dxa" w:w="2381"/>
            <w:vAlign w:val="center"/>
            <w:tcMar>
              <w:top w:w="100" w:type="dxa"/>
              <w:start w:w="110" w:type="dxa"/>
              <w:bottom w:w="100" w:type="dxa"/>
              <w:end w:w="110" w:type="dxa"/>
            </w:tcMar>
          </w:tcPr>
          <w:p>
            <w:pPr>
              <w:spacing w:after="0"/>
            </w:pPr>
            <w:r>
              <w:rPr>
                <w:sz w:val="17"/>
              </w:rPr>
              <w:t>Kollektiver Schutz; grundsätzlich keine individuelle Anspruchsentscheidung</w:t>
            </w:r>
          </w:p>
        </w:tc>
      </w:tr>
      <w:tr>
        <w:tc>
          <w:tcPr>
            <w:tcW w:type="dxa" w:w="1417"/>
            <w:vAlign w:val="center"/>
            <w:shd w:fill="F2F6FA"/>
            <w:tcMar>
              <w:top w:w="100" w:type="dxa"/>
              <w:start w:w="110" w:type="dxa"/>
              <w:bottom w:w="100" w:type="dxa"/>
              <w:end w:w="110" w:type="dxa"/>
            </w:tcMar>
          </w:tcPr>
          <w:p>
            <w:pPr>
              <w:spacing w:after="0"/>
            </w:pPr>
            <w:r>
              <w:rPr>
                <w:sz w:val="17"/>
              </w:rPr>
              <w:t>FCA Vereinigtes Königreich</w:t>
            </w:r>
          </w:p>
        </w:tc>
        <w:tc>
          <w:tcPr>
            <w:tcW w:type="dxa" w:w="1814"/>
            <w:vAlign w:val="center"/>
            <w:shd w:fill="F2F6FA"/>
            <w:tcMar>
              <w:top w:w="100" w:type="dxa"/>
              <w:start w:w="110" w:type="dxa"/>
              <w:bottom w:w="100" w:type="dxa"/>
              <w:end w:w="110" w:type="dxa"/>
            </w:tcMar>
          </w:tcPr>
          <w:p>
            <w:pPr>
              <w:spacing w:after="0"/>
            </w:pPr>
            <w:r>
              <w:rPr>
                <w:sz w:val="17"/>
              </w:rPr>
              <w:t>Verhaltens- und Marktaufsicht</w:t>
            </w:r>
          </w:p>
        </w:tc>
        <w:tc>
          <w:tcPr>
            <w:tcW w:type="dxa" w:w="3515"/>
            <w:vAlign w:val="center"/>
            <w:shd w:fill="F2F6FA"/>
            <w:tcMar>
              <w:top w:w="100" w:type="dxa"/>
              <w:start w:w="110" w:type="dxa"/>
              <w:bottom w:w="100" w:type="dxa"/>
              <w:end w:w="110" w:type="dxa"/>
            </w:tcMar>
          </w:tcPr>
          <w:p>
            <w:pPr>
              <w:spacing w:after="0"/>
            </w:pPr>
            <w:r>
              <w:rPr>
                <w:sz w:val="17"/>
              </w:rPr>
              <w:t>Produktintervention, Erlaubnisentzug, Geldbußen, öffentliche Warnungen, zivil- und teils strafrechtliche Durchsetzung</w:t>
            </w:r>
          </w:p>
        </w:tc>
        <w:tc>
          <w:tcPr>
            <w:tcW w:type="dxa" w:w="2381"/>
            <w:vAlign w:val="center"/>
            <w:shd w:fill="F2F6FA"/>
            <w:tcMar>
              <w:top w:w="100" w:type="dxa"/>
              <w:start w:w="110" w:type="dxa"/>
              <w:bottom w:w="100" w:type="dxa"/>
              <w:end w:w="110" w:type="dxa"/>
            </w:tcMar>
          </w:tcPr>
          <w:p>
            <w:pPr>
              <w:spacing w:after="0"/>
            </w:pPr>
            <w:r>
              <w:rPr>
                <w:sz w:val="17"/>
              </w:rPr>
              <w:t>Aufsichtsgetriebene Redress-Regeln; zusätzlich Ombudsman und Entschädigungssystem</w:t>
            </w:r>
          </w:p>
        </w:tc>
      </w:tr>
      <w:tr>
        <w:tc>
          <w:tcPr>
            <w:tcW w:type="dxa" w:w="1417"/>
            <w:vAlign w:val="center"/>
            <w:tcMar>
              <w:top w:w="100" w:type="dxa"/>
              <w:start w:w="110" w:type="dxa"/>
              <w:bottom w:w="100" w:type="dxa"/>
              <w:end w:w="110" w:type="dxa"/>
            </w:tcMar>
          </w:tcPr>
          <w:p>
            <w:pPr>
              <w:spacing w:after="0"/>
            </w:pPr>
            <w:r>
              <w:rPr>
                <w:sz w:val="17"/>
              </w:rPr>
              <w:t>AMF und ACPR Frankreich</w:t>
            </w:r>
          </w:p>
        </w:tc>
        <w:tc>
          <w:tcPr>
            <w:tcW w:type="dxa" w:w="1814"/>
            <w:vAlign w:val="center"/>
            <w:tcMar>
              <w:top w:w="100" w:type="dxa"/>
              <w:start w:w="110" w:type="dxa"/>
              <w:bottom w:w="100" w:type="dxa"/>
              <w:end w:w="110" w:type="dxa"/>
            </w:tcMar>
          </w:tcPr>
          <w:p>
            <w:pPr>
              <w:spacing w:after="0"/>
            </w:pPr>
            <w:r>
              <w:rPr>
                <w:sz w:val="17"/>
              </w:rPr>
              <w:t>Geteilte Markt- sowie Banken- und Versicherungsaufsicht</w:t>
            </w:r>
          </w:p>
        </w:tc>
        <w:tc>
          <w:tcPr>
            <w:tcW w:type="dxa" w:w="3515"/>
            <w:vAlign w:val="center"/>
            <w:tcMar>
              <w:top w:w="100" w:type="dxa"/>
              <w:start w:w="110" w:type="dxa"/>
              <w:bottom w:w="100" w:type="dxa"/>
              <w:end w:w="110" w:type="dxa"/>
            </w:tcMar>
          </w:tcPr>
          <w:p>
            <w:pPr>
              <w:spacing w:after="0"/>
            </w:pPr>
            <w:r>
              <w:rPr>
                <w:sz w:val="17"/>
              </w:rPr>
              <w:t>Untersuchungen, Unterlassungs- und Erlaubnismaßnahmen, institutionelle Sanktionsverfahren, Vertriebsbeschränkungen</w:t>
            </w:r>
          </w:p>
        </w:tc>
        <w:tc>
          <w:tcPr>
            <w:tcW w:type="dxa" w:w="2381"/>
            <w:vAlign w:val="center"/>
            <w:tcMar>
              <w:top w:w="100" w:type="dxa"/>
              <w:start w:w="110" w:type="dxa"/>
              <w:bottom w:w="100" w:type="dxa"/>
              <w:end w:w="110" w:type="dxa"/>
            </w:tcMar>
          </w:tcPr>
          <w:p>
            <w:pPr>
              <w:spacing w:after="0"/>
            </w:pPr>
            <w:r>
              <w:rPr>
                <w:sz w:val="17"/>
              </w:rPr>
              <w:t>Spezialisierte Zuständigkeiten; AMF-Mediation für bestimmte Anlegerstreitigkeiten</w:t>
            </w:r>
          </w:p>
        </w:tc>
      </w:tr>
      <w:tr>
        <w:tc>
          <w:tcPr>
            <w:tcW w:type="dxa" w:w="1417"/>
            <w:vAlign w:val="center"/>
            <w:shd w:fill="F2F6FA"/>
            <w:tcMar>
              <w:top w:w="100" w:type="dxa"/>
              <w:start w:w="110" w:type="dxa"/>
              <w:bottom w:w="100" w:type="dxa"/>
              <w:end w:w="110" w:type="dxa"/>
            </w:tcMar>
          </w:tcPr>
          <w:p>
            <w:pPr>
              <w:spacing w:after="0"/>
            </w:pPr>
            <w:r>
              <w:rPr>
                <w:sz w:val="17"/>
              </w:rPr>
              <w:t>AFM und DNB Niederlande</w:t>
            </w:r>
          </w:p>
        </w:tc>
        <w:tc>
          <w:tcPr>
            <w:tcW w:type="dxa" w:w="1814"/>
            <w:vAlign w:val="center"/>
            <w:shd w:fill="F2F6FA"/>
            <w:tcMar>
              <w:top w:w="100" w:type="dxa"/>
              <w:start w:w="110" w:type="dxa"/>
              <w:bottom w:w="100" w:type="dxa"/>
              <w:end w:w="110" w:type="dxa"/>
            </w:tcMar>
          </w:tcPr>
          <w:p>
            <w:pPr>
              <w:spacing w:after="0"/>
            </w:pPr>
            <w:r>
              <w:rPr>
                <w:sz w:val="17"/>
              </w:rPr>
              <w:t>Twin Peaks</w:t>
            </w:r>
          </w:p>
        </w:tc>
        <w:tc>
          <w:tcPr>
            <w:tcW w:type="dxa" w:w="3515"/>
            <w:vAlign w:val="center"/>
            <w:shd w:fill="F2F6FA"/>
            <w:tcMar>
              <w:top w:w="100" w:type="dxa"/>
              <w:start w:w="110" w:type="dxa"/>
              <w:bottom w:w="100" w:type="dxa"/>
              <w:end w:w="110" w:type="dxa"/>
            </w:tcMar>
          </w:tcPr>
          <w:p>
            <w:pPr>
              <w:spacing w:after="0"/>
            </w:pPr>
            <w:r>
              <w:rPr>
                <w:sz w:val="17"/>
              </w:rPr>
              <w:t>Zwangsgeld, Bußgeld, Lizenzmaßnahmen, Produktintervention, Veröffentlichung</w:t>
            </w:r>
          </w:p>
        </w:tc>
        <w:tc>
          <w:tcPr>
            <w:tcW w:type="dxa" w:w="2381"/>
            <w:vAlign w:val="center"/>
            <w:shd w:fill="F2F6FA"/>
            <w:tcMar>
              <w:top w:w="100" w:type="dxa"/>
              <w:start w:w="110" w:type="dxa"/>
              <w:bottom w:w="100" w:type="dxa"/>
              <w:end w:w="110" w:type="dxa"/>
            </w:tcMar>
          </w:tcPr>
          <w:p>
            <w:pPr>
              <w:spacing w:after="0"/>
            </w:pPr>
            <w:r>
              <w:rPr>
                <w:sz w:val="17"/>
              </w:rPr>
              <w:t>Klare Trennung von Marktverhalten und Solidität</w:t>
            </w:r>
          </w:p>
        </w:tc>
      </w:tr>
      <w:tr>
        <w:tc>
          <w:tcPr>
            <w:tcW w:type="dxa" w:w="1417"/>
            <w:vAlign w:val="center"/>
            <w:tcMar>
              <w:top w:w="100" w:type="dxa"/>
              <w:start w:w="110" w:type="dxa"/>
              <w:bottom w:w="100" w:type="dxa"/>
              <w:end w:w="110" w:type="dxa"/>
            </w:tcMar>
          </w:tcPr>
          <w:p>
            <w:pPr>
              <w:spacing w:after="0"/>
            </w:pPr>
            <w:r>
              <w:rPr>
                <w:sz w:val="17"/>
              </w:rPr>
              <w:t>FMA Österreich</w:t>
            </w:r>
          </w:p>
        </w:tc>
        <w:tc>
          <w:tcPr>
            <w:tcW w:type="dxa" w:w="1814"/>
            <w:vAlign w:val="center"/>
            <w:tcMar>
              <w:top w:w="100" w:type="dxa"/>
              <w:start w:w="110" w:type="dxa"/>
              <w:bottom w:w="100" w:type="dxa"/>
              <w:end w:w="110" w:type="dxa"/>
            </w:tcMar>
          </w:tcPr>
          <w:p>
            <w:pPr>
              <w:spacing w:after="0"/>
            </w:pPr>
            <w:r>
              <w:rPr>
                <w:sz w:val="17"/>
              </w:rPr>
              <w:t>Integriert; Zusammenarbeit mit OeNB</w:t>
            </w:r>
          </w:p>
        </w:tc>
        <w:tc>
          <w:tcPr>
            <w:tcW w:type="dxa" w:w="3515"/>
            <w:vAlign w:val="center"/>
            <w:tcMar>
              <w:top w:w="100" w:type="dxa"/>
              <w:start w:w="110" w:type="dxa"/>
              <w:bottom w:w="100" w:type="dxa"/>
              <w:end w:w="110" w:type="dxa"/>
            </w:tcMar>
          </w:tcPr>
          <w:p>
            <w:pPr>
              <w:spacing w:after="0"/>
            </w:pPr>
            <w:r>
              <w:rPr>
                <w:sz w:val="17"/>
              </w:rPr>
              <w:t>Erlaubnis- und Organisationsmaßnahmen, Verwaltungsstrafen, Produktintervention, Warnungen</w:t>
            </w:r>
          </w:p>
        </w:tc>
        <w:tc>
          <w:tcPr>
            <w:tcW w:type="dxa" w:w="2381"/>
            <w:vAlign w:val="center"/>
            <w:tcMar>
              <w:top w:w="100" w:type="dxa"/>
              <w:start w:w="110" w:type="dxa"/>
              <w:bottom w:w="100" w:type="dxa"/>
              <w:end w:w="110" w:type="dxa"/>
            </w:tcMar>
          </w:tcPr>
          <w:p>
            <w:pPr>
              <w:spacing w:after="0"/>
            </w:pPr>
            <w:r>
              <w:rPr>
                <w:sz w:val="17"/>
              </w:rPr>
              <w:t>Individuelle Entschädigung außerhalb des Aufsichtsverfahrens</w:t>
            </w:r>
          </w:p>
        </w:tc>
      </w:tr>
      <w:tr>
        <w:tc>
          <w:tcPr>
            <w:tcW w:type="dxa" w:w="1417"/>
            <w:vAlign w:val="center"/>
            <w:shd w:fill="F2F6FA"/>
            <w:tcMar>
              <w:top w:w="100" w:type="dxa"/>
              <w:start w:w="110" w:type="dxa"/>
              <w:bottom w:w="100" w:type="dxa"/>
              <w:end w:w="110" w:type="dxa"/>
            </w:tcMar>
          </w:tcPr>
          <w:p>
            <w:pPr>
              <w:spacing w:after="0"/>
            </w:pPr>
            <w:r>
              <w:rPr>
                <w:sz w:val="17"/>
              </w:rPr>
              <w:t>FINMA Schweiz</w:t>
            </w:r>
          </w:p>
        </w:tc>
        <w:tc>
          <w:tcPr>
            <w:tcW w:type="dxa" w:w="1814"/>
            <w:vAlign w:val="center"/>
            <w:shd w:fill="F2F6FA"/>
            <w:tcMar>
              <w:top w:w="100" w:type="dxa"/>
              <w:start w:w="110" w:type="dxa"/>
              <w:bottom w:w="100" w:type="dxa"/>
              <w:end w:w="110" w:type="dxa"/>
            </w:tcMar>
          </w:tcPr>
          <w:p>
            <w:pPr>
              <w:spacing w:after="0"/>
            </w:pPr>
            <w:r>
              <w:rPr>
                <w:sz w:val="17"/>
              </w:rPr>
              <w:t>Integrierte Aufsicht außerhalb der EU</w:t>
            </w:r>
          </w:p>
        </w:tc>
        <w:tc>
          <w:tcPr>
            <w:tcW w:type="dxa" w:w="3515"/>
            <w:vAlign w:val="center"/>
            <w:shd w:fill="F2F6FA"/>
            <w:tcMar>
              <w:top w:w="100" w:type="dxa"/>
              <w:start w:w="110" w:type="dxa"/>
              <w:bottom w:w="100" w:type="dxa"/>
              <w:end w:w="110" w:type="dxa"/>
            </w:tcMar>
          </w:tcPr>
          <w:p>
            <w:pPr>
              <w:spacing w:after="0"/>
            </w:pPr>
            <w:r>
              <w:rPr>
                <w:sz w:val="17"/>
              </w:rPr>
              <w:t>Wiederherstellung, Gewinneinziehung, Berufs- und Tätigkeitsverbote, Bewilligungsentzug, Publikation</w:t>
            </w:r>
          </w:p>
        </w:tc>
        <w:tc>
          <w:tcPr>
            <w:tcW w:type="dxa" w:w="2381"/>
            <w:vAlign w:val="center"/>
            <w:shd w:fill="F2F6FA"/>
            <w:tcMar>
              <w:top w:w="100" w:type="dxa"/>
              <w:start w:w="110" w:type="dxa"/>
              <w:bottom w:w="100" w:type="dxa"/>
              <w:end w:w="110" w:type="dxa"/>
            </w:tcMar>
          </w:tcPr>
          <w:p>
            <w:pPr>
              <w:spacing w:after="0"/>
            </w:pPr>
            <w:r>
              <w:rPr>
                <w:sz w:val="17"/>
              </w:rPr>
              <w:t>Starke administrative Mittel; grundsätzlich keine allgemeinen punitiven Geldbußen</w:t>
            </w:r>
          </w:p>
        </w:tc>
      </w:tr>
    </w:tbl>
    <w:p>
      <w:pPr>
        <w:widowControl/>
        <w:spacing w:after="20"/>
      </w:pPr>
    </w:p>
    <w:p>
      <w:pPr>
        <w:pStyle w:val="Heading3"/>
        <w:keepNext/>
        <w:widowControl/>
      </w:pPr>
      <w:r>
        <w:t>Produktintervention</w:t>
      </w:r>
    </w:p>
    <w:p>
      <w:pPr>
        <w:widowControl/>
      </w:pPr>
      <w:r>
        <w:t>Im EU-Binnenmarkt beruhen Produktinterventionsbefugnisse für Finanzinstrumente wesentlich auf MiFIR. Nationale Behörden können unter Voraussetzungen Produkte oder Praktiken beschränken; ESMA kann vorübergehende unionsweite Maßnahmen treffen. Deshalb ähneln sich die Grundinstrumente von BaFin, AMF, AFM und FMA. Unterschiede entstehen bei Risikobereitschaft, Begründungspraxis, Datengrundlage und Geschwindigkeit. Die britische FCA besitzt nach nationalem Recht ebenfalls ausgeprägte Produktinterventionsbefugnisse und verbindet sie mit Marktuntersuchungen und detaillierten Verhaltensregeln.</w:t>
      </w:r>
    </w:p>
    <w:p>
      <w:pPr>
        <w:pStyle w:val="Heading3"/>
        <w:keepNext/>
        <w:widowControl/>
      </w:pPr>
      <w:r>
        <w:t>Sanktionen und Veröffentlichung</w:t>
      </w:r>
    </w:p>
    <w:p>
      <w:pPr>
        <w:widowControl/>
      </w:pPr>
      <w:r>
        <w:t>Geldbußen sind nur ein Teil wirksamer Durchsetzung. Erlaubnisentzug, Geschäftsleitermaßnahmen, Gewinnabschöpfung, Vertriebsverbote und öffentliche Bekanntmachungen können stärker wirken. Die FCA ist für sichtbare Enforcement-Verfahren und hohe Geldbußen bekannt. Frankreich trennt Ermittlung und Sanktion institutionell stärker. Die niederländische AFM kombiniert Verwaltungsanordnungen, Zwangsgelder und Publizität. FINMA konzentriert sich auf die Wiederherstellung rechtmäßiger Zustände, Einziehung unrechtmäßig erzielter Gewinne und Tätigkeitsverbote; punitive Geldbußen gehören nicht generell zu ihrem Kerninstrumentarium.</w:t>
      </w:r>
    </w:p>
    <w:p>
      <w:pPr>
        <w:pStyle w:val="Heading3"/>
        <w:keepNext/>
        <w:widowControl/>
      </w:pPr>
      <w:r>
        <w:t>Individuelle Wiedergutmachung</w:t>
      </w:r>
    </w:p>
    <w:p>
      <w:pPr>
        <w:widowControl/>
      </w:pPr>
      <w:r>
        <w:t>Hier liegt ein wichtiger Unterschied. Die BaFin schützt kollektiv und entscheidet grundsätzlich keine individuellen Zahlungsansprüche. Im Vereinigten Königreich kann das Gesamtsystem aus FCA-Regeln, Redress-Programmen, Financial Ombudsman Service und Financial Services Compensation Scheme eine engere Verbindung zwischen Aufsicht und Wiedergutmachung schaffen. Diese Instrumente liegen nicht sämtlich bei der FCA, greifen aber institutionell enger ineinander. Deutschland verteilt Beschwerde, Schlichtung, Entschädigung und Zivilrecht stärker auf verschiedene Stellen.</w:t>
      </w:r>
    </w:p>
    <w:p>
      <w:pPr>
        <w:pStyle w:val="Heading3"/>
        <w:keepNext/>
        <w:widowControl/>
      </w:pPr>
      <w:r>
        <w:t>Geschwindigkeit und vorläufige Maßnahmen</w:t>
      </w:r>
    </w:p>
    <w:p>
      <w:pPr>
        <w:widowControl/>
      </w:pPr>
      <w:r>
        <w:t>Bei digitalen Angeboten kann eine Maßnahme, die erst nach Monaten öffentlich wird, wirtschaftlich zu spät kommen. Behörden benötigen rechtssichere Möglichkeiten für vorläufige Beschränkungen, schnelle Warnungen sowie Zusammenarbeit mit Plattformen und Zahlungsdienstleistern. Mehrere europäische Behörden haben Erfahrungen mit Maßnahmen gegen illegale Finanzwebseiten; im Vereinigten Königreich spielt die Regulierung von Finanzwerbung eine starke Rolle. In Deutschland bestehen Untersagungs- und Warnmöglichkeiten, doch Zuständigkeitsketten über Strafverfolgung, Plattformen und ausländische Anbieter können die praktische Umsetzung verlangsamen.</w:t>
      </w:r>
    </w:p>
    <w:p>
      <w:pPr>
        <w:pStyle w:val="Heading3"/>
        <w:keepNext/>
        <w:widowControl/>
      </w:pPr>
      <w:r>
        <w:t>Ergebnis des Vergleichs</w:t>
      </w:r>
    </w:p>
    <w:p>
      <w:pPr>
        <w:widowControl/>
      </w:pPr>
      <w:r>
        <w:t>Die BaFin verfügt im europäischen Vergleich über ein breites Arsenal. Ihre erkennbare Schwäche ist weniger das völlige Fehlen klassischer Befugnisse als die begrenzte Verbindung zum individuellen Redress, die Komplexität geteilter Zuständigkeiten und die Frage schneller Umsetzung. Das britische System bietet Anregungen für kollektive Wiedergutmachung; Twin-Peaks-Modelle zeigen den Wert eines klar sichtbaren Verhaltensmandats; FINMA verdeutlicht die Wirkung von Tätigkeitsverbot und Gewinnabschöpfung. Keine Struktur ist in jeder Lage überlegen.</w:t>
      </w:r>
    </w:p>
    <w:p>
      <w:pPr>
        <w:pStyle w:val="Heading2"/>
        <w:keepNext/>
        <w:widowControl/>
      </w:pPr>
      <w:r>
        <w:t>19  Reformoptionen für mehr Durchsetzungskraft</w:t>
      </w:r>
    </w:p>
    <w:p>
      <w:pPr>
        <w:widowControl/>
      </w:pPr>
      <w:r>
        <w:t>Mehr Kompetenzen sind kein Selbstzweck. Jede Erweiterung sollte ein konkret belegtes Vollzugsproblem lösen und mit Rechtsschutz, parlamentarischer Kontrolle sowie transparenter Wirkungsmessung verbunden sein. Aus dem europäischen Vergleich ergeben sich prüfenswerte Optionen.</w:t>
      </w:r>
    </w:p>
    <w:p>
      <w:pPr>
        <w:pStyle w:val="ListBullet"/>
        <w:widowControl/>
      </w:pPr>
      <w:r>
        <w:t>Kollektive Wiedergutmachung: Unter engen Voraussetzungen könnten aufsichtsrechtliche Redress-Pläne möglich werden, wenn ein klar abgrenzbarer systematischer Verstoß viele Kunden betrifft.</w:t>
      </w:r>
    </w:p>
    <w:p>
      <w:pPr>
        <w:pStyle w:val="ListBullet"/>
        <w:widowControl/>
      </w:pPr>
      <w:r>
        <w:t>Schnellere vorläufige Maßnahmen: Für offensichtlich unerlaubte digitale Angebote könnten zeitlich befristete Zahlungs-, Werbe- oder Zugangsmaßnahmen mit kurzen gerichtlichen Prüfwegen vereinheitlicht werden.</w:t>
      </w:r>
    </w:p>
    <w:p>
      <w:pPr>
        <w:pStyle w:val="ListBullet"/>
        <w:widowControl/>
      </w:pPr>
      <w:r>
        <w:t>Konsequente Gewinnabschöpfung: Wirtschaftliche Vorteile aus Aufsichtsverstößen sollten verlässlich ermittelt und abgeschöpft werden können.</w:t>
      </w:r>
    </w:p>
    <w:p>
      <w:pPr>
        <w:pStyle w:val="ListBullet"/>
        <w:widowControl/>
      </w:pPr>
      <w:r>
        <w:t>Persönliche Verantwortlichkeit: Tätigkeits- und Berufsverbote für nachweislich ungeeignete oder schwer pflichtwidrig handelnde Verantwortliche können Unternehmenssanktionen ergänzen.</w:t>
      </w:r>
    </w:p>
    <w:p>
      <w:pPr>
        <w:pStyle w:val="ListBullet"/>
        <w:widowControl/>
      </w:pPr>
      <w:r>
        <w:t>Hinweisgeber und Datenzugang: Sichere Kanäle und bessere Verknüpfung von Beschwerden, Transaktionsdaten, Werbung und Unternehmensmeldungen stärken Früherkennung.</w:t>
      </w:r>
    </w:p>
    <w:p>
      <w:pPr>
        <w:pStyle w:val="ListBullet"/>
        <w:widowControl/>
      </w:pPr>
      <w:r>
        <w:t>Transparenz: Eingriffsprioritäten, Verfahrensdauer und Wirkung kollektiver Maßnahmen sollten aggregiert veröffentlicht werden.</w:t>
      </w:r>
    </w:p>
    <w:p>
      <w:pPr>
        <w:pStyle w:val="ListBullet"/>
        <w:widowControl/>
      </w:pPr>
      <w:r>
        <w:t>Zuständigkeitsbrücken: Klare Eskalations- und Informationspflichten zwischen BaFin, Strafverfolgung, Bundesbank und europäischen Stellen können Lücken reduzieren.</w:t>
      </w:r>
    </w:p>
    <w:p>
      <w:pPr>
        <w:widowControl/>
      </w:pPr>
      <w:r>
        <w:t>Eine Behörde mit mehr Befugnissen braucht ausreichend qualifiziertes Personal, wettbewerbsfähige technische Fähigkeiten und eine Kultur, in der begründeter Widerspruch belohnt wird. Andernfalls wächst nur der Gesetzestext. Durchsetzungskraft und rechtsstaatliche Kontrolle sind Bedingungen dauerhafter Legitimität.</w:t>
      </w:r>
    </w:p>
    <w:p>
      <w:pPr>
        <w:pStyle w:val="Heading2"/>
        <w:keepNext/>
        <w:widowControl/>
      </w:pPr>
      <w:r>
        <w:t>20  Zukunftsfragen bis 2030</w:t>
      </w:r>
    </w:p>
    <w:p>
      <w:pPr>
        <w:widowControl/>
      </w:pPr>
      <w:r>
        <w:t>Die nächste Entwicklungsphase wird von fünf Spannungsfeldern bestimmt. Erstens muss Aufsicht schneller werden, ohne rechtsstaatliche Sorgfalt zu verlieren. Zweitens braucht sie Datenzugang und Analysekompetenz, ohne in einer Flut standardisierter Meldungen zu ertrinken. Drittens muss sie Innovation verstehen, ohne Geschäftsmodelle zu bevorzugen. Viertens verlangt europäische Integration klare Verantwortlichkeit. Fünftens soll Verbraucherkommunikation verständlich sein, ohne Risiken zu vereinfachen.</w:t>
      </w:r>
    </w:p>
    <w:p>
      <w:pPr>
        <w:widowControl/>
      </w:pPr>
      <w:r>
        <w:t>Künstliche Intelligenz wird auf beiden Seiten eingesetzt werden. Unternehmen automatisieren Beratung, Kreditprüfung und Betrugsprävention; Aufseher analysieren Meldungen, Netzwerke und Texte. Qualität hängt nicht nur vom Modell ab, sondern von Daten, Kontrollen, Erklärbarkeit und menschlicher Eskalation. Eine algorithmische Aufsicht darf nicht zur scheinobjektiven Blackbox werden.</w:t>
      </w:r>
    </w:p>
    <w:p>
      <w:pPr>
        <w:widowControl/>
      </w:pPr>
      <w:r>
        <w:t>Der Klimawandel wirkt als physisches und transitorisches Finanzrisiko. Extremwetter kann Versicherbarkeit und Sicherheitenwerte verändern; politische und technologische Übergänge können Branchen entwerten. Aufsicht muss diese Risiken in Governance und Risikomanagement integrieren, darf aber demokratische Klima- und Industriepolitik nicht ersetzen.</w:t>
      </w:r>
    </w:p>
    <w:p>
      <w:pPr>
        <w:widowControl/>
      </w:pPr>
      <w:r>
        <w:t>Verbraucherschutz wird stärker verhaltenswissenschaftlich. Entscheidend ist nicht nur, ob ein Dokument formal vollständig ist, sondern ob Menschen zentrale Kosten und Risiken tatsächlich verstehen. Digitale Experimente, Beschwerdedaten und Testkäufe können dies sichtbar machen. Dabei bleiben Transparenz, Datenschutz und überprüfbare Eingriffskriterien unverzichtbar.</w:t>
      </w:r>
    </w:p>
    <w:p>
      <w:pPr>
        <w:widowControl/>
      </w:pPr>
      <w:r>
        <w:t>Eine glaubwürdige BaFin im Jahr 2030 wäre fachlich spezialisiert und zugleich sektorübergreifend, europäisch vernetzt und national ansprechbar, technologisch kompetent und rechtsstaatlich kontrolliert. Sie würde Fehler nicht verbergen, sondern systematisch auswerten. Vor allem würde sie ihre Schutzwirkung realistisch erklären: starke Regeln, wachsame Aufsicht und informierte Kunden ergänzen einander; keine dieser Säulen ersetzt die anderen.</w:t>
      </w:r>
    </w:p>
    <w:p>
      <w:pPr>
        <w:pStyle w:val="Heading1"/>
        <w:keepNext/>
        <w:widowControl/>
      </w:pPr>
      <w:r>
        <w:t>Praktischer Leitfaden  So nutzen Verbraucher und Anleger die BaFin</w:t>
      </w:r>
    </w:p>
    <w:p>
      <w:pPr>
        <w:pStyle w:val="Heading2"/>
        <w:keepNext/>
        <w:widowControl/>
      </w:pPr>
      <w:r>
        <w:t>Vor einer Geldanlage</w:t>
      </w:r>
    </w:p>
    <w:p>
      <w:pPr>
        <w:pStyle w:val="ListBullet"/>
        <w:widowControl/>
      </w:pPr>
      <w:r>
        <w:t>Anbieter prüfen: In der Unternehmensdatenbank nach Erlaubnis und genauer juristischer Firma suchen. Ähnliche Namen und geklonte Websites beachten.</w:t>
      </w:r>
    </w:p>
    <w:p>
      <w:pPr>
        <w:pStyle w:val="ListBullet"/>
        <w:widowControl/>
      </w:pPr>
      <w:r>
        <w:t>Warnungen suchen: BaFin-Meldungen und Warnlisten anderer zuständiger Behörden prüfen. Das Fehlen einer Warnung ist kein Positivnachweis.</w:t>
      </w:r>
    </w:p>
    <w:p>
      <w:pPr>
        <w:pStyle w:val="ListBullet"/>
        <w:widowControl/>
      </w:pPr>
      <w:r>
        <w:t>Produkt verstehen: Renditequelle, maximale Verluste, Laufzeit, Kündigung, Liquidität, Kosten, Gegenpartei und Einlagensicherung klären.</w:t>
      </w:r>
    </w:p>
    <w:p>
      <w:pPr>
        <w:pStyle w:val="ListBullet"/>
        <w:widowControl/>
      </w:pPr>
      <w:r>
        <w:t>Prospekt richtig lesen: Billigung nicht als Gütesiegel verstehen. Risikofaktoren, Mittelverwendung und Interessenkonflikte prüfen.</w:t>
      </w:r>
    </w:p>
    <w:p>
      <w:pPr>
        <w:pStyle w:val="ListBullet"/>
        <w:widowControl/>
      </w:pPr>
      <w:r>
        <w:t>Kommunikationsdruck ablehnen: Keine Überweisung wegen künstlicher Fristen, exklusiver Gruppen oder angeblicher Behördenkontakte.</w:t>
      </w:r>
    </w:p>
    <w:p>
      <w:pPr>
        <w:pStyle w:val="ListBullet"/>
        <w:widowControl/>
      </w:pPr>
      <w:r>
        <w:t>Diversifizieren: Auch beaufsichtigte Produkte können ausfallen oder stark schwanken.</w:t>
      </w:r>
    </w:p>
    <w:p>
      <w:pPr>
        <w:pStyle w:val="Heading2"/>
        <w:keepNext/>
        <w:widowControl/>
      </w:pPr>
      <w:r>
        <w:t>Bei Verdacht auf Betrug oder unerlaubtes Geschäft</w:t>
      </w:r>
    </w:p>
    <w:p>
      <w:pPr>
        <w:pStyle w:val="ListBullet"/>
        <w:widowControl/>
      </w:pPr>
      <w:r>
        <w:t>Keine weiteren Zahlungen leisten und Fernzugriff auf Geräte beenden.</w:t>
      </w:r>
    </w:p>
    <w:p>
      <w:pPr>
        <w:pStyle w:val="ListBullet"/>
        <w:widowControl/>
      </w:pPr>
      <w:r>
        <w:t>Bank oder Zahlungsdienstleister sofort kontaktieren; Rückruf oder Sperre prüfen.</w:t>
      </w:r>
    </w:p>
    <w:p>
      <w:pPr>
        <w:pStyle w:val="ListBullet"/>
        <w:widowControl/>
      </w:pPr>
      <w:r>
        <w:t>Belege sichern: URLs, Chatverläufe, Telefonnummern, Wallet-Adressen, Kontoangaben und Transaktionsnachweise.</w:t>
      </w:r>
    </w:p>
    <w:p>
      <w:pPr>
        <w:pStyle w:val="ListBullet"/>
        <w:widowControl/>
      </w:pPr>
      <w:r>
        <w:t>Polizei beziehungsweise Staatsanwaltschaft einschalten, wenn ein Straftatverdacht besteht.</w:t>
      </w:r>
    </w:p>
    <w:p>
      <w:pPr>
        <w:pStyle w:val="ListBullet"/>
        <w:widowControl/>
      </w:pPr>
      <w:r>
        <w:t>BaFin informieren, wenn ein Finanzgeschäft ohne erforderliche Erlaubnis angeboten wird oder ein strukturelles Aufsichtsproblem vorliegen könnte.</w:t>
      </w:r>
    </w:p>
    <w:p>
      <w:pPr>
        <w:pStyle w:val="ListBullet"/>
        <w:widowControl/>
      </w:pPr>
      <w:r>
        <w:t>Passwörter ändern und Identitätsmissbrauch beobachten.</w:t>
      </w:r>
    </w:p>
    <w:p>
      <w:pPr>
        <w:pStyle w:val="Heading2"/>
        <w:keepNext/>
        <w:widowControl/>
      </w:pPr>
      <w:r>
        <w:t>Bei Streit mit einem beaufsichtigten Unternehmen</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173"/>
        <w:gridCol w:w="3173"/>
        <w:gridCol w:w="3173"/>
      </w:tblGrid>
      <w:tr>
        <w:tc>
          <w:tcPr>
            <w:tcW w:type="dxa" w:w="2154"/>
            <w:shd w:fill="17365D"/>
            <w:vAlign w:val="center"/>
            <w:tcMar>
              <w:top w:w="100" w:type="dxa"/>
              <w:start w:w="110" w:type="dxa"/>
              <w:bottom w:w="100" w:type="dxa"/>
              <w:end w:w="110" w:type="dxa"/>
            </w:tcMar>
          </w:tcPr>
          <w:p>
            <w:r>
              <w:rPr>
                <w:b/>
                <w:color w:val="FFFFFF"/>
                <w:sz w:val="18"/>
              </w:rPr>
              <w:t>Schritt</w:t>
            </w:r>
          </w:p>
        </w:tc>
        <w:tc>
          <w:tcPr>
            <w:tcW w:type="dxa" w:w="3005"/>
            <w:shd w:fill="17365D"/>
            <w:vAlign w:val="center"/>
            <w:tcMar>
              <w:top w:w="100" w:type="dxa"/>
              <w:start w:w="110" w:type="dxa"/>
              <w:bottom w:w="100" w:type="dxa"/>
              <w:end w:w="110" w:type="dxa"/>
            </w:tcMar>
          </w:tcPr>
          <w:p>
            <w:r>
              <w:rPr>
                <w:b/>
                <w:color w:val="FFFFFF"/>
                <w:sz w:val="18"/>
              </w:rPr>
              <w:t>Ziel</w:t>
            </w:r>
          </w:p>
        </w:tc>
        <w:tc>
          <w:tcPr>
            <w:tcW w:type="dxa" w:w="3912"/>
            <w:shd w:fill="17365D"/>
            <w:vAlign w:val="center"/>
            <w:tcMar>
              <w:top w:w="100" w:type="dxa"/>
              <w:start w:w="110" w:type="dxa"/>
              <w:bottom w:w="100" w:type="dxa"/>
              <w:end w:w="110" w:type="dxa"/>
            </w:tcMar>
          </w:tcPr>
          <w:p>
            <w:r>
              <w:rPr>
                <w:b/>
                <w:color w:val="FFFFFF"/>
                <w:sz w:val="18"/>
              </w:rPr>
              <w:t>Wichtiger Hinweis</w:t>
            </w:r>
          </w:p>
        </w:tc>
      </w:tr>
      <w:tr>
        <w:tc>
          <w:tcPr>
            <w:tcW w:type="dxa" w:w="2154"/>
            <w:vAlign w:val="center"/>
            <w:tcMar>
              <w:top w:w="100" w:type="dxa"/>
              <w:start w:w="110" w:type="dxa"/>
              <w:bottom w:w="100" w:type="dxa"/>
              <w:end w:w="110" w:type="dxa"/>
            </w:tcMar>
          </w:tcPr>
          <w:p>
            <w:pPr>
              <w:spacing w:after="0"/>
            </w:pPr>
            <w:r>
              <w:rPr>
                <w:sz w:val="17"/>
              </w:rPr>
              <w:t>1 Unternehmen anschreiben</w:t>
            </w:r>
          </w:p>
        </w:tc>
        <w:tc>
          <w:tcPr>
            <w:tcW w:type="dxa" w:w="3005"/>
            <w:vAlign w:val="center"/>
            <w:tcMar>
              <w:top w:w="100" w:type="dxa"/>
              <w:start w:w="110" w:type="dxa"/>
              <w:bottom w:w="100" w:type="dxa"/>
              <w:end w:w="110" w:type="dxa"/>
            </w:tcMar>
          </w:tcPr>
          <w:p>
            <w:pPr>
              <w:spacing w:after="0"/>
            </w:pPr>
            <w:r>
              <w:rPr>
                <w:sz w:val="17"/>
              </w:rPr>
              <w:t>Sachverhalt und Forderung klären</w:t>
            </w:r>
          </w:p>
        </w:tc>
        <w:tc>
          <w:tcPr>
            <w:tcW w:type="dxa" w:w="3912"/>
            <w:vAlign w:val="center"/>
            <w:tcMar>
              <w:top w:w="100" w:type="dxa"/>
              <w:start w:w="110" w:type="dxa"/>
              <w:bottom w:w="100" w:type="dxa"/>
              <w:end w:w="110" w:type="dxa"/>
            </w:tcMar>
          </w:tcPr>
          <w:p>
            <w:pPr>
              <w:spacing w:after="0"/>
            </w:pPr>
            <w:r>
              <w:rPr>
                <w:sz w:val="17"/>
              </w:rPr>
              <w:t>Frist setzen und Nachweise beifügen</w:t>
            </w:r>
          </w:p>
        </w:tc>
      </w:tr>
      <w:tr>
        <w:tc>
          <w:tcPr>
            <w:tcW w:type="dxa" w:w="2154"/>
            <w:vAlign w:val="center"/>
            <w:shd w:fill="F2F6FA"/>
            <w:tcMar>
              <w:top w:w="100" w:type="dxa"/>
              <w:start w:w="110" w:type="dxa"/>
              <w:bottom w:w="100" w:type="dxa"/>
              <w:end w:w="110" w:type="dxa"/>
            </w:tcMar>
          </w:tcPr>
          <w:p>
            <w:pPr>
              <w:spacing w:after="0"/>
            </w:pPr>
            <w:r>
              <w:rPr>
                <w:sz w:val="17"/>
              </w:rPr>
              <w:t>2 Ombuds- oder Schlichtungsstelle</w:t>
            </w:r>
          </w:p>
        </w:tc>
        <w:tc>
          <w:tcPr>
            <w:tcW w:type="dxa" w:w="3005"/>
            <w:vAlign w:val="center"/>
            <w:shd w:fill="F2F6FA"/>
            <w:tcMar>
              <w:top w:w="100" w:type="dxa"/>
              <w:start w:w="110" w:type="dxa"/>
              <w:bottom w:w="100" w:type="dxa"/>
              <w:end w:w="110" w:type="dxa"/>
            </w:tcMar>
          </w:tcPr>
          <w:p>
            <w:pPr>
              <w:spacing w:after="0"/>
            </w:pPr>
            <w:r>
              <w:rPr>
                <w:sz w:val="17"/>
              </w:rPr>
              <w:t>Individuelle außergerichtliche Lösung</w:t>
            </w:r>
          </w:p>
        </w:tc>
        <w:tc>
          <w:tcPr>
            <w:tcW w:type="dxa" w:w="3912"/>
            <w:vAlign w:val="center"/>
            <w:shd w:fill="F2F6FA"/>
            <w:tcMar>
              <w:top w:w="100" w:type="dxa"/>
              <w:start w:w="110" w:type="dxa"/>
              <w:bottom w:w="100" w:type="dxa"/>
              <w:end w:w="110" w:type="dxa"/>
            </w:tcMar>
          </w:tcPr>
          <w:p>
            <w:pPr>
              <w:spacing w:after="0"/>
            </w:pPr>
            <w:r>
              <w:rPr>
                <w:sz w:val="17"/>
              </w:rPr>
              <w:t>Zuständigkeit und Verfahrensordnung prüfen</w:t>
            </w:r>
          </w:p>
        </w:tc>
      </w:tr>
      <w:tr>
        <w:tc>
          <w:tcPr>
            <w:tcW w:type="dxa" w:w="2154"/>
            <w:vAlign w:val="center"/>
            <w:tcMar>
              <w:top w:w="100" w:type="dxa"/>
              <w:start w:w="110" w:type="dxa"/>
              <w:bottom w:w="100" w:type="dxa"/>
              <w:end w:w="110" w:type="dxa"/>
            </w:tcMar>
          </w:tcPr>
          <w:p>
            <w:pPr>
              <w:spacing w:after="0"/>
            </w:pPr>
            <w:r>
              <w:rPr>
                <w:sz w:val="17"/>
              </w:rPr>
              <w:t>3 BaFin-Beschwerde</w:t>
            </w:r>
          </w:p>
        </w:tc>
        <w:tc>
          <w:tcPr>
            <w:tcW w:type="dxa" w:w="3005"/>
            <w:vAlign w:val="center"/>
            <w:tcMar>
              <w:top w:w="100" w:type="dxa"/>
              <w:start w:w="110" w:type="dxa"/>
              <w:bottom w:w="100" w:type="dxa"/>
              <w:end w:w="110" w:type="dxa"/>
            </w:tcMar>
          </w:tcPr>
          <w:p>
            <w:pPr>
              <w:spacing w:after="0"/>
            </w:pPr>
            <w:r>
              <w:rPr>
                <w:sz w:val="17"/>
              </w:rPr>
              <w:t>Aufsichtsrechtliche Prüfung und Musterhinweis</w:t>
            </w:r>
          </w:p>
        </w:tc>
        <w:tc>
          <w:tcPr>
            <w:tcW w:type="dxa" w:w="3912"/>
            <w:vAlign w:val="center"/>
            <w:tcMar>
              <w:top w:w="100" w:type="dxa"/>
              <w:start w:w="110" w:type="dxa"/>
              <w:bottom w:w="100" w:type="dxa"/>
              <w:end w:w="110" w:type="dxa"/>
            </w:tcMar>
          </w:tcPr>
          <w:p>
            <w:pPr>
              <w:spacing w:after="0"/>
            </w:pPr>
            <w:r>
              <w:rPr>
                <w:sz w:val="17"/>
              </w:rPr>
              <w:t>Keine automatische Hemmung privater Fristen</w:t>
            </w:r>
          </w:p>
        </w:tc>
      </w:tr>
      <w:tr>
        <w:tc>
          <w:tcPr>
            <w:tcW w:type="dxa" w:w="2154"/>
            <w:vAlign w:val="center"/>
            <w:shd w:fill="F2F6FA"/>
            <w:tcMar>
              <w:top w:w="100" w:type="dxa"/>
              <w:start w:w="110" w:type="dxa"/>
              <w:bottom w:w="100" w:type="dxa"/>
              <w:end w:w="110" w:type="dxa"/>
            </w:tcMar>
          </w:tcPr>
          <w:p>
            <w:pPr>
              <w:spacing w:after="0"/>
            </w:pPr>
            <w:r>
              <w:rPr>
                <w:sz w:val="17"/>
              </w:rPr>
              <w:t>4 Rechtsberatung oder Gericht</w:t>
            </w:r>
          </w:p>
        </w:tc>
        <w:tc>
          <w:tcPr>
            <w:tcW w:type="dxa" w:w="3005"/>
            <w:vAlign w:val="center"/>
            <w:shd w:fill="F2F6FA"/>
            <w:tcMar>
              <w:top w:w="100" w:type="dxa"/>
              <w:start w:w="110" w:type="dxa"/>
              <w:bottom w:w="100" w:type="dxa"/>
              <w:end w:w="110" w:type="dxa"/>
            </w:tcMar>
          </w:tcPr>
          <w:p>
            <w:pPr>
              <w:spacing w:after="0"/>
            </w:pPr>
            <w:r>
              <w:rPr>
                <w:sz w:val="17"/>
              </w:rPr>
              <w:t>Anspruch verbindlich durchsetzen</w:t>
            </w:r>
          </w:p>
        </w:tc>
        <w:tc>
          <w:tcPr>
            <w:tcW w:type="dxa" w:w="3912"/>
            <w:vAlign w:val="center"/>
            <w:shd w:fill="F2F6FA"/>
            <w:tcMar>
              <w:top w:w="100" w:type="dxa"/>
              <w:start w:w="110" w:type="dxa"/>
              <w:bottom w:w="100" w:type="dxa"/>
              <w:end w:w="110" w:type="dxa"/>
            </w:tcMar>
          </w:tcPr>
          <w:p>
            <w:pPr>
              <w:spacing w:after="0"/>
            </w:pPr>
            <w:r>
              <w:rPr>
                <w:sz w:val="17"/>
              </w:rPr>
              <w:t>Kosten, Beweise und Verjährung prüfen</w:t>
            </w:r>
          </w:p>
        </w:tc>
      </w:tr>
    </w:tbl>
    <w:p>
      <w:pPr>
        <w:widowControl/>
        <w:spacing w:after="20"/>
      </w:pPr>
    </w:p>
    <w:p>
      <w:pPr>
        <w:pStyle w:val="Heading2"/>
        <w:keepNext/>
        <w:widowControl/>
      </w:pPr>
      <w:r>
        <w:t>Musterstruktur einer sachlichen Beschwerde</w:t>
      </w:r>
    </w:p>
    <w:p>
      <w:pPr>
        <w:widowControl/>
      </w:pPr>
      <w:r>
        <w:t>Betreff: Beschwerde über [Unternehmen] wegen [kurze Bezeichnung]. Danach folgen Kontaktdaten, Kunden- oder Vertragsnummer, eine chronologische Darstellung mit Daten, die konkret beanstandete Handlung, der bisherige Schriftwechsel, vorhandene Belege und die Bitte um aufsichtsrechtliche Prüfung. Persönliche Zugangsdaten und Originalunterlagen werden nicht versandt. Parallel wird geprüft, ob Fristen oder individuelle Ansprüche auf anderem Weg gesichert werden müssen.</w:t>
      </w:r>
    </w:p>
    <w:p>
      <w:pPr>
        <w:pStyle w:val="Heading1"/>
        <w:keepNext/>
        <w:widowControl/>
      </w:pPr>
      <w:r>
        <w:t>Anhang A  Zeittafel</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173"/>
        <w:gridCol w:w="3173"/>
        <w:gridCol w:w="3173"/>
      </w:tblGrid>
      <w:tr>
        <w:tc>
          <w:tcPr>
            <w:tcW w:type="dxa" w:w="1247"/>
            <w:shd w:fill="17365D"/>
            <w:vAlign w:val="center"/>
            <w:tcMar>
              <w:top w:w="100" w:type="dxa"/>
              <w:start w:w="110" w:type="dxa"/>
              <w:bottom w:w="100" w:type="dxa"/>
              <w:end w:w="110" w:type="dxa"/>
            </w:tcMar>
          </w:tcPr>
          <w:p>
            <w:r>
              <w:rPr>
                <w:b/>
                <w:color w:val="FFFFFF"/>
                <w:sz w:val="18"/>
              </w:rPr>
              <w:t>Jahr</w:t>
            </w:r>
          </w:p>
        </w:tc>
        <w:tc>
          <w:tcPr>
            <w:tcW w:type="dxa" w:w="2835"/>
            <w:shd w:fill="17365D"/>
            <w:vAlign w:val="center"/>
            <w:tcMar>
              <w:top w:w="100" w:type="dxa"/>
              <w:start w:w="110" w:type="dxa"/>
              <w:bottom w:w="100" w:type="dxa"/>
              <w:end w:w="110" w:type="dxa"/>
            </w:tcMar>
          </w:tcPr>
          <w:p>
            <w:r>
              <w:rPr>
                <w:b/>
                <w:color w:val="FFFFFF"/>
                <w:sz w:val="18"/>
              </w:rPr>
              <w:t>Ereignis</w:t>
            </w:r>
          </w:p>
        </w:tc>
        <w:tc>
          <w:tcPr>
            <w:tcW w:type="dxa" w:w="4989"/>
            <w:shd w:fill="17365D"/>
            <w:vAlign w:val="center"/>
            <w:tcMar>
              <w:top w:w="100" w:type="dxa"/>
              <w:start w:w="110" w:type="dxa"/>
              <w:bottom w:w="100" w:type="dxa"/>
              <w:end w:w="110" w:type="dxa"/>
            </w:tcMar>
          </w:tcPr>
          <w:p>
            <w:r>
              <w:rPr>
                <w:b/>
                <w:color w:val="FFFFFF"/>
                <w:sz w:val="18"/>
              </w:rPr>
              <w:t>Bedeutung</w:t>
            </w:r>
          </w:p>
        </w:tc>
      </w:tr>
      <w:tr>
        <w:tc>
          <w:tcPr>
            <w:tcW w:type="dxa" w:w="1247"/>
            <w:vAlign w:val="center"/>
            <w:tcMar>
              <w:top w:w="100" w:type="dxa"/>
              <w:start w:w="110" w:type="dxa"/>
              <w:bottom w:w="100" w:type="dxa"/>
              <w:end w:w="110" w:type="dxa"/>
            </w:tcMar>
          </w:tcPr>
          <w:p>
            <w:pPr>
              <w:spacing w:after="0"/>
            </w:pPr>
            <w:r>
              <w:rPr>
                <w:sz w:val="17"/>
              </w:rPr>
              <w:t>2002</w:t>
            </w:r>
          </w:p>
        </w:tc>
        <w:tc>
          <w:tcPr>
            <w:tcW w:type="dxa" w:w="2835"/>
            <w:vAlign w:val="center"/>
            <w:tcMar>
              <w:top w:w="100" w:type="dxa"/>
              <w:start w:w="110" w:type="dxa"/>
              <w:bottom w:w="100" w:type="dxa"/>
              <w:end w:w="110" w:type="dxa"/>
            </w:tcMar>
          </w:tcPr>
          <w:p>
            <w:pPr>
              <w:spacing w:after="0"/>
            </w:pPr>
            <w:r>
              <w:rPr>
                <w:sz w:val="17"/>
              </w:rPr>
              <w:t>Gründung der BaFin zum 1. Mai</w:t>
            </w:r>
          </w:p>
        </w:tc>
        <w:tc>
          <w:tcPr>
            <w:tcW w:type="dxa" w:w="4989"/>
            <w:vAlign w:val="center"/>
            <w:tcMar>
              <w:top w:w="100" w:type="dxa"/>
              <w:start w:w="110" w:type="dxa"/>
              <w:bottom w:w="100" w:type="dxa"/>
              <w:end w:w="110" w:type="dxa"/>
            </w:tcMar>
          </w:tcPr>
          <w:p>
            <w:pPr>
              <w:spacing w:after="0"/>
            </w:pPr>
            <w:r>
              <w:rPr>
                <w:sz w:val="17"/>
              </w:rPr>
              <w:t>Drei Bundesaufsichtsämter werden zur Allfinanzaufsicht zusammengeführt</w:t>
            </w:r>
          </w:p>
        </w:tc>
      </w:tr>
      <w:tr>
        <w:tc>
          <w:tcPr>
            <w:tcW w:type="dxa" w:w="1247"/>
            <w:vAlign w:val="center"/>
            <w:shd w:fill="F2F6FA"/>
            <w:tcMar>
              <w:top w:w="100" w:type="dxa"/>
              <w:start w:w="110" w:type="dxa"/>
              <w:bottom w:w="100" w:type="dxa"/>
              <w:end w:w="110" w:type="dxa"/>
            </w:tcMar>
          </w:tcPr>
          <w:p>
            <w:pPr>
              <w:spacing w:after="0"/>
            </w:pPr>
            <w:r>
              <w:rPr>
                <w:sz w:val="17"/>
              </w:rPr>
              <w:t>2007 bis 2009</w:t>
            </w:r>
          </w:p>
        </w:tc>
        <w:tc>
          <w:tcPr>
            <w:tcW w:type="dxa" w:w="2835"/>
            <w:vAlign w:val="center"/>
            <w:shd w:fill="F2F6FA"/>
            <w:tcMar>
              <w:top w:w="100" w:type="dxa"/>
              <w:start w:w="110" w:type="dxa"/>
              <w:bottom w:w="100" w:type="dxa"/>
              <w:end w:w="110" w:type="dxa"/>
            </w:tcMar>
          </w:tcPr>
          <w:p>
            <w:pPr>
              <w:spacing w:after="0"/>
            </w:pPr>
            <w:r>
              <w:rPr>
                <w:sz w:val="17"/>
              </w:rPr>
              <w:t>Globale Finanzkrise</w:t>
            </w:r>
          </w:p>
        </w:tc>
        <w:tc>
          <w:tcPr>
            <w:tcW w:type="dxa" w:w="4989"/>
            <w:vAlign w:val="center"/>
            <w:shd w:fill="F2F6FA"/>
            <w:tcMar>
              <w:top w:w="100" w:type="dxa"/>
              <w:start w:w="110" w:type="dxa"/>
              <w:bottom w:w="100" w:type="dxa"/>
              <w:end w:w="110" w:type="dxa"/>
            </w:tcMar>
          </w:tcPr>
          <w:p>
            <w:pPr>
              <w:spacing w:after="0"/>
            </w:pPr>
            <w:r>
              <w:rPr>
                <w:sz w:val="17"/>
              </w:rPr>
              <w:t>Kapital, Liquidität, Systemrisiken und Krisenmanagement werden neu bewertet</w:t>
            </w:r>
          </w:p>
        </w:tc>
      </w:tr>
      <w:tr>
        <w:tc>
          <w:tcPr>
            <w:tcW w:type="dxa" w:w="1247"/>
            <w:vAlign w:val="center"/>
            <w:tcMar>
              <w:top w:w="100" w:type="dxa"/>
              <w:start w:w="110" w:type="dxa"/>
              <w:bottom w:w="100" w:type="dxa"/>
              <w:end w:w="110" w:type="dxa"/>
            </w:tcMar>
          </w:tcPr>
          <w:p>
            <w:pPr>
              <w:spacing w:after="0"/>
            </w:pPr>
            <w:r>
              <w:rPr>
                <w:sz w:val="17"/>
              </w:rPr>
              <w:t>2011</w:t>
            </w:r>
          </w:p>
        </w:tc>
        <w:tc>
          <w:tcPr>
            <w:tcW w:type="dxa" w:w="2835"/>
            <w:vAlign w:val="center"/>
            <w:tcMar>
              <w:top w:w="100" w:type="dxa"/>
              <w:start w:w="110" w:type="dxa"/>
              <w:bottom w:w="100" w:type="dxa"/>
              <w:end w:w="110" w:type="dxa"/>
            </w:tcMar>
          </w:tcPr>
          <w:p>
            <w:pPr>
              <w:spacing w:after="0"/>
            </w:pPr>
            <w:r>
              <w:rPr>
                <w:sz w:val="17"/>
              </w:rPr>
              <w:t>Europäische Aufsichtsbehörden starten</w:t>
            </w:r>
          </w:p>
        </w:tc>
        <w:tc>
          <w:tcPr>
            <w:tcW w:type="dxa" w:w="4989"/>
            <w:vAlign w:val="center"/>
            <w:tcMar>
              <w:top w:w="100" w:type="dxa"/>
              <w:start w:w="110" w:type="dxa"/>
              <w:bottom w:w="100" w:type="dxa"/>
              <w:end w:w="110" w:type="dxa"/>
            </w:tcMar>
          </w:tcPr>
          <w:p>
            <w:pPr>
              <w:spacing w:after="0"/>
            </w:pPr>
            <w:r>
              <w:rPr>
                <w:sz w:val="17"/>
              </w:rPr>
              <w:t>EBA, EIOPA und ESMA verdichten europäische Koordination</w:t>
            </w:r>
          </w:p>
        </w:tc>
      </w:tr>
      <w:tr>
        <w:tc>
          <w:tcPr>
            <w:tcW w:type="dxa" w:w="1247"/>
            <w:vAlign w:val="center"/>
            <w:shd w:fill="F2F6FA"/>
            <w:tcMar>
              <w:top w:w="100" w:type="dxa"/>
              <w:start w:w="110" w:type="dxa"/>
              <w:bottom w:w="100" w:type="dxa"/>
              <w:end w:w="110" w:type="dxa"/>
            </w:tcMar>
          </w:tcPr>
          <w:p>
            <w:pPr>
              <w:spacing w:after="0"/>
            </w:pPr>
            <w:r>
              <w:rPr>
                <w:sz w:val="17"/>
              </w:rPr>
              <w:t>2014</w:t>
            </w:r>
          </w:p>
        </w:tc>
        <w:tc>
          <w:tcPr>
            <w:tcW w:type="dxa" w:w="2835"/>
            <w:vAlign w:val="center"/>
            <w:shd w:fill="F2F6FA"/>
            <w:tcMar>
              <w:top w:w="100" w:type="dxa"/>
              <w:start w:w="110" w:type="dxa"/>
              <w:bottom w:w="100" w:type="dxa"/>
              <w:end w:w="110" w:type="dxa"/>
            </w:tcMar>
          </w:tcPr>
          <w:p>
            <w:pPr>
              <w:spacing w:after="0"/>
            </w:pPr>
            <w:r>
              <w:rPr>
                <w:sz w:val="17"/>
              </w:rPr>
              <w:t>Einheitlicher Aufsichtsmechanismus</w:t>
            </w:r>
          </w:p>
        </w:tc>
        <w:tc>
          <w:tcPr>
            <w:tcW w:type="dxa" w:w="4989"/>
            <w:vAlign w:val="center"/>
            <w:shd w:fill="F2F6FA"/>
            <w:tcMar>
              <w:top w:w="100" w:type="dxa"/>
              <w:start w:w="110" w:type="dxa"/>
              <w:bottom w:w="100" w:type="dxa"/>
              <w:end w:w="110" w:type="dxa"/>
            </w:tcMar>
          </w:tcPr>
          <w:p>
            <w:pPr>
              <w:spacing w:after="0"/>
            </w:pPr>
            <w:r>
              <w:rPr>
                <w:sz w:val="17"/>
              </w:rPr>
              <w:t>EZB übernimmt unmittelbare Aufsicht bedeutender Banken</w:t>
            </w:r>
          </w:p>
        </w:tc>
      </w:tr>
      <w:tr>
        <w:tc>
          <w:tcPr>
            <w:tcW w:type="dxa" w:w="1247"/>
            <w:vAlign w:val="center"/>
            <w:tcMar>
              <w:top w:w="100" w:type="dxa"/>
              <w:start w:w="110" w:type="dxa"/>
              <w:bottom w:w="100" w:type="dxa"/>
              <w:end w:w="110" w:type="dxa"/>
            </w:tcMar>
          </w:tcPr>
          <w:p>
            <w:pPr>
              <w:spacing w:after="0"/>
            </w:pPr>
            <w:r>
              <w:rPr>
                <w:sz w:val="17"/>
              </w:rPr>
              <w:t>2015</w:t>
            </w:r>
          </w:p>
        </w:tc>
        <w:tc>
          <w:tcPr>
            <w:tcW w:type="dxa" w:w="2835"/>
            <w:vAlign w:val="center"/>
            <w:tcMar>
              <w:top w:w="100" w:type="dxa"/>
              <w:start w:w="110" w:type="dxa"/>
              <w:bottom w:w="100" w:type="dxa"/>
              <w:end w:w="110" w:type="dxa"/>
            </w:tcMar>
          </w:tcPr>
          <w:p>
            <w:pPr>
              <w:spacing w:after="0"/>
            </w:pPr>
            <w:r>
              <w:rPr>
                <w:sz w:val="17"/>
              </w:rPr>
              <w:t>Kollektiver Verbraucherschutz im FinDAG</w:t>
            </w:r>
          </w:p>
        </w:tc>
        <w:tc>
          <w:tcPr>
            <w:tcW w:type="dxa" w:w="4989"/>
            <w:vAlign w:val="center"/>
            <w:tcMar>
              <w:top w:w="100" w:type="dxa"/>
              <w:start w:w="110" w:type="dxa"/>
              <w:bottom w:w="100" w:type="dxa"/>
              <w:end w:w="110" w:type="dxa"/>
            </w:tcMar>
          </w:tcPr>
          <w:p>
            <w:pPr>
              <w:spacing w:after="0"/>
            </w:pPr>
            <w:r>
              <w:rPr>
                <w:sz w:val="17"/>
              </w:rPr>
              <w:t>Verbraucherinteressen werden ausdrücklicher gesetzlicher Auftrag</w:t>
            </w:r>
          </w:p>
        </w:tc>
      </w:tr>
      <w:tr>
        <w:tc>
          <w:tcPr>
            <w:tcW w:type="dxa" w:w="1247"/>
            <w:vAlign w:val="center"/>
            <w:shd w:fill="F2F6FA"/>
            <w:tcMar>
              <w:top w:w="100" w:type="dxa"/>
              <w:start w:w="110" w:type="dxa"/>
              <w:bottom w:w="100" w:type="dxa"/>
              <w:end w:w="110" w:type="dxa"/>
            </w:tcMar>
          </w:tcPr>
          <w:p>
            <w:pPr>
              <w:spacing w:after="0"/>
            </w:pPr>
            <w:r>
              <w:rPr>
                <w:sz w:val="17"/>
              </w:rPr>
              <w:t>2018</w:t>
            </w:r>
          </w:p>
        </w:tc>
        <w:tc>
          <w:tcPr>
            <w:tcW w:type="dxa" w:w="2835"/>
            <w:vAlign w:val="center"/>
            <w:shd w:fill="F2F6FA"/>
            <w:tcMar>
              <w:top w:w="100" w:type="dxa"/>
              <w:start w:w="110" w:type="dxa"/>
              <w:bottom w:w="100" w:type="dxa"/>
              <w:end w:w="110" w:type="dxa"/>
            </w:tcMar>
          </w:tcPr>
          <w:p>
            <w:pPr>
              <w:spacing w:after="0"/>
            </w:pPr>
            <w:r>
              <w:rPr>
                <w:sz w:val="17"/>
              </w:rPr>
              <w:t>MiFID II und neue Marktregeln prägen Praxis</w:t>
            </w:r>
          </w:p>
        </w:tc>
        <w:tc>
          <w:tcPr>
            <w:tcW w:type="dxa" w:w="4989"/>
            <w:vAlign w:val="center"/>
            <w:shd w:fill="F2F6FA"/>
            <w:tcMar>
              <w:top w:w="100" w:type="dxa"/>
              <w:start w:w="110" w:type="dxa"/>
              <w:bottom w:w="100" w:type="dxa"/>
              <w:end w:w="110" w:type="dxa"/>
            </w:tcMar>
          </w:tcPr>
          <w:p>
            <w:pPr>
              <w:spacing w:after="0"/>
            </w:pPr>
            <w:r>
              <w:rPr>
                <w:sz w:val="17"/>
              </w:rPr>
              <w:t>Mehr Transparenz, Produktgovernance und Vertriebsanforderungen</w:t>
            </w:r>
          </w:p>
        </w:tc>
      </w:tr>
      <w:tr>
        <w:tc>
          <w:tcPr>
            <w:tcW w:type="dxa" w:w="1247"/>
            <w:vAlign w:val="center"/>
            <w:tcMar>
              <w:top w:w="100" w:type="dxa"/>
              <w:start w:w="110" w:type="dxa"/>
              <w:bottom w:w="100" w:type="dxa"/>
              <w:end w:w="110" w:type="dxa"/>
            </w:tcMar>
          </w:tcPr>
          <w:p>
            <w:pPr>
              <w:spacing w:after="0"/>
            </w:pPr>
            <w:r>
              <w:rPr>
                <w:sz w:val="17"/>
              </w:rPr>
              <w:t>2019</w:t>
            </w:r>
          </w:p>
        </w:tc>
        <w:tc>
          <w:tcPr>
            <w:tcW w:type="dxa" w:w="2835"/>
            <w:vAlign w:val="center"/>
            <w:tcMar>
              <w:top w:w="100" w:type="dxa"/>
              <w:start w:w="110" w:type="dxa"/>
              <w:bottom w:w="100" w:type="dxa"/>
              <w:end w:w="110" w:type="dxa"/>
            </w:tcMar>
          </w:tcPr>
          <w:p>
            <w:pPr>
              <w:spacing w:after="0"/>
            </w:pPr>
            <w:r>
              <w:rPr>
                <w:sz w:val="17"/>
              </w:rPr>
              <w:t>Dauerhafte nationale Produktmaßnahmen</w:t>
            </w:r>
          </w:p>
        </w:tc>
        <w:tc>
          <w:tcPr>
            <w:tcW w:type="dxa" w:w="4989"/>
            <w:vAlign w:val="center"/>
            <w:tcMar>
              <w:top w:w="100" w:type="dxa"/>
              <w:start w:w="110" w:type="dxa"/>
              <w:bottom w:w="100" w:type="dxa"/>
              <w:end w:w="110" w:type="dxa"/>
            </w:tcMar>
          </w:tcPr>
          <w:p>
            <w:pPr>
              <w:spacing w:after="0"/>
            </w:pPr>
            <w:r>
              <w:rPr>
                <w:sz w:val="17"/>
              </w:rPr>
              <w:t>Hebelprodukte und spekulative Angebote geraten stärker in den Fokus</w:t>
            </w:r>
          </w:p>
        </w:tc>
      </w:tr>
      <w:tr>
        <w:tc>
          <w:tcPr>
            <w:tcW w:type="dxa" w:w="1247"/>
            <w:vAlign w:val="center"/>
            <w:shd w:fill="F2F6FA"/>
            <w:tcMar>
              <w:top w:w="100" w:type="dxa"/>
              <w:start w:w="110" w:type="dxa"/>
              <w:bottom w:w="100" w:type="dxa"/>
              <w:end w:w="110" w:type="dxa"/>
            </w:tcMar>
          </w:tcPr>
          <w:p>
            <w:pPr>
              <w:spacing w:after="0"/>
            </w:pPr>
            <w:r>
              <w:rPr>
                <w:sz w:val="17"/>
              </w:rPr>
              <w:t>2020</w:t>
            </w:r>
          </w:p>
        </w:tc>
        <w:tc>
          <w:tcPr>
            <w:tcW w:type="dxa" w:w="2835"/>
            <w:vAlign w:val="center"/>
            <w:shd w:fill="F2F6FA"/>
            <w:tcMar>
              <w:top w:w="100" w:type="dxa"/>
              <w:start w:w="110" w:type="dxa"/>
              <w:bottom w:w="100" w:type="dxa"/>
              <w:end w:w="110" w:type="dxa"/>
            </w:tcMar>
          </w:tcPr>
          <w:p>
            <w:pPr>
              <w:spacing w:after="0"/>
            </w:pPr>
            <w:r>
              <w:rPr>
                <w:sz w:val="17"/>
              </w:rPr>
              <w:t>Wirecard kollabiert</w:t>
            </w:r>
          </w:p>
        </w:tc>
        <w:tc>
          <w:tcPr>
            <w:tcW w:type="dxa" w:w="4989"/>
            <w:vAlign w:val="center"/>
            <w:shd w:fill="F2F6FA"/>
            <w:tcMar>
              <w:top w:w="100" w:type="dxa"/>
              <w:start w:w="110" w:type="dxa"/>
              <w:bottom w:w="100" w:type="dxa"/>
              <w:end w:w="110" w:type="dxa"/>
            </w:tcMar>
          </w:tcPr>
          <w:p>
            <w:pPr>
              <w:spacing w:after="0"/>
            </w:pPr>
            <w:r>
              <w:rPr>
                <w:sz w:val="17"/>
              </w:rPr>
              <w:t>Zäsur für Bilanzkontrolle, Aufsichtskultur und institutionelles Vertrauen</w:t>
            </w:r>
          </w:p>
        </w:tc>
      </w:tr>
      <w:tr>
        <w:tc>
          <w:tcPr>
            <w:tcW w:type="dxa" w:w="1247"/>
            <w:vAlign w:val="center"/>
            <w:tcMar>
              <w:top w:w="100" w:type="dxa"/>
              <w:start w:w="110" w:type="dxa"/>
              <w:bottom w:w="100" w:type="dxa"/>
              <w:end w:w="110" w:type="dxa"/>
            </w:tcMar>
          </w:tcPr>
          <w:p>
            <w:pPr>
              <w:spacing w:after="0"/>
            </w:pPr>
            <w:r>
              <w:rPr>
                <w:sz w:val="17"/>
              </w:rPr>
              <w:t>2021</w:t>
            </w:r>
          </w:p>
        </w:tc>
        <w:tc>
          <w:tcPr>
            <w:tcW w:type="dxa" w:w="2835"/>
            <w:vAlign w:val="center"/>
            <w:tcMar>
              <w:top w:w="100" w:type="dxa"/>
              <w:start w:w="110" w:type="dxa"/>
              <w:bottom w:w="100" w:type="dxa"/>
              <w:end w:w="110" w:type="dxa"/>
            </w:tcMar>
          </w:tcPr>
          <w:p>
            <w:pPr>
              <w:spacing w:after="0"/>
            </w:pPr>
            <w:r>
              <w:rPr>
                <w:sz w:val="17"/>
              </w:rPr>
              <w:t>FISG und BaFin-Reform</w:t>
            </w:r>
          </w:p>
        </w:tc>
        <w:tc>
          <w:tcPr>
            <w:tcW w:type="dxa" w:w="4989"/>
            <w:vAlign w:val="center"/>
            <w:tcMar>
              <w:top w:w="100" w:type="dxa"/>
              <w:start w:w="110" w:type="dxa"/>
              <w:bottom w:w="100" w:type="dxa"/>
              <w:end w:w="110" w:type="dxa"/>
            </w:tcMar>
          </w:tcPr>
          <w:p>
            <w:pPr>
              <w:spacing w:after="0"/>
            </w:pPr>
            <w:r>
              <w:rPr>
                <w:sz w:val="17"/>
              </w:rPr>
              <w:t>Kompetenzen, Fokusaufsicht, Daten und interne Strukturen werden gestärkt</w:t>
            </w:r>
          </w:p>
        </w:tc>
      </w:tr>
      <w:tr>
        <w:tc>
          <w:tcPr>
            <w:tcW w:type="dxa" w:w="1247"/>
            <w:vAlign w:val="center"/>
            <w:shd w:fill="F2F6FA"/>
            <w:tcMar>
              <w:top w:w="100" w:type="dxa"/>
              <w:start w:w="110" w:type="dxa"/>
              <w:bottom w:w="100" w:type="dxa"/>
              <w:end w:w="110" w:type="dxa"/>
            </w:tcMar>
          </w:tcPr>
          <w:p>
            <w:pPr>
              <w:spacing w:after="0"/>
            </w:pPr>
            <w:r>
              <w:rPr>
                <w:sz w:val="17"/>
              </w:rPr>
              <w:t>2023 bis 2024</w:t>
            </w:r>
          </w:p>
        </w:tc>
        <w:tc>
          <w:tcPr>
            <w:tcW w:type="dxa" w:w="2835"/>
            <w:vAlign w:val="center"/>
            <w:shd w:fill="F2F6FA"/>
            <w:tcMar>
              <w:top w:w="100" w:type="dxa"/>
              <w:start w:w="110" w:type="dxa"/>
              <w:bottom w:w="100" w:type="dxa"/>
              <w:end w:w="110" w:type="dxa"/>
            </w:tcMar>
          </w:tcPr>
          <w:p>
            <w:pPr>
              <w:spacing w:after="0"/>
            </w:pPr>
            <w:r>
              <w:rPr>
                <w:sz w:val="17"/>
              </w:rPr>
              <w:t>MiCA tritt stufenweise in Anwendung</w:t>
            </w:r>
          </w:p>
        </w:tc>
        <w:tc>
          <w:tcPr>
            <w:tcW w:type="dxa" w:w="4989"/>
            <w:vAlign w:val="center"/>
            <w:shd w:fill="F2F6FA"/>
            <w:tcMar>
              <w:top w:w="100" w:type="dxa"/>
              <w:start w:w="110" w:type="dxa"/>
              <w:bottom w:w="100" w:type="dxa"/>
              <w:end w:w="110" w:type="dxa"/>
            </w:tcMar>
          </w:tcPr>
          <w:p>
            <w:pPr>
              <w:spacing w:after="0"/>
            </w:pPr>
            <w:r>
              <w:rPr>
                <w:sz w:val="17"/>
              </w:rPr>
              <w:t>Europäischer Rahmen für Kryptowerte und Dienstleister</w:t>
            </w:r>
          </w:p>
        </w:tc>
      </w:tr>
      <w:tr>
        <w:tc>
          <w:tcPr>
            <w:tcW w:type="dxa" w:w="1247"/>
            <w:vAlign w:val="center"/>
            <w:tcMar>
              <w:top w:w="100" w:type="dxa"/>
              <w:start w:w="110" w:type="dxa"/>
              <w:bottom w:w="100" w:type="dxa"/>
              <w:end w:w="110" w:type="dxa"/>
            </w:tcMar>
          </w:tcPr>
          <w:p>
            <w:pPr>
              <w:spacing w:after="0"/>
            </w:pPr>
            <w:r>
              <w:rPr>
                <w:sz w:val="17"/>
              </w:rPr>
              <w:t>2025</w:t>
            </w:r>
          </w:p>
        </w:tc>
        <w:tc>
          <w:tcPr>
            <w:tcW w:type="dxa" w:w="2835"/>
            <w:vAlign w:val="center"/>
            <w:tcMar>
              <w:top w:w="100" w:type="dxa"/>
              <w:start w:w="110" w:type="dxa"/>
              <w:bottom w:w="100" w:type="dxa"/>
              <w:end w:w="110" w:type="dxa"/>
            </w:tcMar>
          </w:tcPr>
          <w:p>
            <w:pPr>
              <w:spacing w:after="0"/>
            </w:pPr>
            <w:r>
              <w:rPr>
                <w:sz w:val="17"/>
              </w:rPr>
              <w:t>DORA wird anwendbar</w:t>
            </w:r>
          </w:p>
        </w:tc>
        <w:tc>
          <w:tcPr>
            <w:tcW w:type="dxa" w:w="4989"/>
            <w:vAlign w:val="center"/>
            <w:tcMar>
              <w:top w:w="100" w:type="dxa"/>
              <w:start w:w="110" w:type="dxa"/>
              <w:bottom w:w="100" w:type="dxa"/>
              <w:end w:w="110" w:type="dxa"/>
            </w:tcMar>
          </w:tcPr>
          <w:p>
            <w:pPr>
              <w:spacing w:after="0"/>
            </w:pPr>
            <w:r>
              <w:rPr>
                <w:sz w:val="17"/>
              </w:rPr>
              <w:t>Einheitlicher EU-Rahmen für digitale operationale Resilienz</w:t>
            </w:r>
          </w:p>
        </w:tc>
      </w:tr>
      <w:tr>
        <w:tc>
          <w:tcPr>
            <w:tcW w:type="dxa" w:w="1247"/>
            <w:vAlign w:val="center"/>
            <w:shd w:fill="F2F6FA"/>
            <w:tcMar>
              <w:top w:w="100" w:type="dxa"/>
              <w:start w:w="110" w:type="dxa"/>
              <w:bottom w:w="100" w:type="dxa"/>
              <w:end w:w="110" w:type="dxa"/>
            </w:tcMar>
          </w:tcPr>
          <w:p>
            <w:pPr>
              <w:spacing w:after="0"/>
            </w:pPr>
            <w:r>
              <w:rPr>
                <w:sz w:val="17"/>
              </w:rPr>
              <w:t>2026</w:t>
            </w:r>
          </w:p>
        </w:tc>
        <w:tc>
          <w:tcPr>
            <w:tcW w:type="dxa" w:w="2835"/>
            <w:vAlign w:val="center"/>
            <w:shd w:fill="F2F6FA"/>
            <w:tcMar>
              <w:top w:w="100" w:type="dxa"/>
              <w:start w:w="110" w:type="dxa"/>
              <w:bottom w:w="100" w:type="dxa"/>
              <w:end w:w="110" w:type="dxa"/>
            </w:tcMar>
          </w:tcPr>
          <w:p>
            <w:pPr>
              <w:spacing w:after="0"/>
            </w:pPr>
            <w:r>
              <w:rPr>
                <w:sz w:val="17"/>
              </w:rPr>
              <w:t>Vertiefte europäische Vernetzung</w:t>
            </w:r>
          </w:p>
        </w:tc>
        <w:tc>
          <w:tcPr>
            <w:tcW w:type="dxa" w:w="4989"/>
            <w:vAlign w:val="center"/>
            <w:shd w:fill="F2F6FA"/>
            <w:tcMar>
              <w:top w:w="100" w:type="dxa"/>
              <w:start w:w="110" w:type="dxa"/>
              <w:bottom w:w="100" w:type="dxa"/>
              <w:end w:w="110" w:type="dxa"/>
            </w:tcMar>
          </w:tcPr>
          <w:p>
            <w:pPr>
              <w:spacing w:after="0"/>
            </w:pPr>
            <w:r>
              <w:rPr>
                <w:sz w:val="17"/>
              </w:rPr>
              <w:t>Krypto-, Daten-, Cyber- und Geldwäscheaufsicht prägen die Agenda</w:t>
            </w:r>
          </w:p>
        </w:tc>
      </w:tr>
    </w:tbl>
    <w:p>
      <w:pPr>
        <w:widowControl/>
        <w:spacing w:after="20"/>
      </w:pPr>
    </w:p>
    <w:p>
      <w:pPr>
        <w:pStyle w:val="Heading1"/>
        <w:keepNext/>
        <w:widowControl/>
      </w:pPr>
      <w:r>
        <w:t>Anhang B  Glossar</w:t>
      </w:r>
    </w:p>
    <w:p>
      <w:pPr>
        <w:widowControl/>
        <w:spacing w:after="80"/>
      </w:pPr>
      <w:r>
        <w:rPr>
          <w:b/>
        </w:rPr>
        <w:t xml:space="preserve">Allfinanzaufsicht: </w:t>
      </w:r>
      <w:r>
        <w:t>Gemeinsame Aufsicht über mehrere Finanzsektoren in einer Behörde.</w:t>
      </w:r>
    </w:p>
    <w:p>
      <w:pPr>
        <w:widowControl/>
        <w:spacing w:after="80"/>
      </w:pPr>
      <w:r>
        <w:rPr>
          <w:b/>
        </w:rPr>
        <w:t xml:space="preserve">Anlegerschutz: </w:t>
      </w:r>
      <w:r>
        <w:t>Regeln und Maßnahmen für faire, transparente Kapitalmärkte und ordnungsgemäße Wertpapierdienstleistungen.</w:t>
      </w:r>
    </w:p>
    <w:p>
      <w:pPr>
        <w:widowControl/>
        <w:spacing w:after="80"/>
      </w:pPr>
      <w:r>
        <w:rPr>
          <w:b/>
        </w:rPr>
        <w:t xml:space="preserve">BaFin: </w:t>
      </w:r>
      <w:r>
        <w:t>Bundesanstalt für Finanzdienstleistungsaufsicht.</w:t>
      </w:r>
    </w:p>
    <w:p>
      <w:pPr>
        <w:widowControl/>
        <w:spacing w:after="80"/>
      </w:pPr>
      <w:r>
        <w:rPr>
          <w:b/>
        </w:rPr>
        <w:t xml:space="preserve">Bilanzkontrolle: </w:t>
      </w:r>
      <w:r>
        <w:t>Prüfung, ob kapitalmarktorientierte Unternehmen Rechnungslegungsvorschriften einhalten.</w:t>
      </w:r>
    </w:p>
    <w:p>
      <w:pPr>
        <w:widowControl/>
        <w:spacing w:after="80"/>
      </w:pPr>
      <w:r>
        <w:rPr>
          <w:b/>
        </w:rPr>
        <w:t xml:space="preserve">DORA: </w:t>
      </w:r>
      <w:r>
        <w:t>EU-Verordnung über digitale operationale Resilienz im Finanzsektor.</w:t>
      </w:r>
    </w:p>
    <w:p>
      <w:pPr>
        <w:widowControl/>
        <w:spacing w:after="80"/>
      </w:pPr>
      <w:r>
        <w:rPr>
          <w:b/>
        </w:rPr>
        <w:t xml:space="preserve">EBA: </w:t>
      </w:r>
      <w:r>
        <w:t>Europäische Bankenaufsichtsbehörde.</w:t>
      </w:r>
    </w:p>
    <w:p>
      <w:pPr>
        <w:widowControl/>
        <w:spacing w:after="80"/>
      </w:pPr>
      <w:r>
        <w:rPr>
          <w:b/>
        </w:rPr>
        <w:t xml:space="preserve">EIOPA: </w:t>
      </w:r>
      <w:r>
        <w:t>Europäische Aufsichtsbehörde für das Versicherungswesen und die betriebliche Altersversorgung.</w:t>
      </w:r>
    </w:p>
    <w:p>
      <w:pPr>
        <w:widowControl/>
        <w:spacing w:after="80"/>
      </w:pPr>
      <w:r>
        <w:rPr>
          <w:b/>
        </w:rPr>
        <w:t xml:space="preserve">ESMA: </w:t>
      </w:r>
      <w:r>
        <w:t>Europäische Wertpapier- und Marktaufsichtsbehörde.</w:t>
      </w:r>
    </w:p>
    <w:p>
      <w:pPr>
        <w:widowControl/>
        <w:spacing w:after="80"/>
      </w:pPr>
      <w:r>
        <w:rPr>
          <w:b/>
        </w:rPr>
        <w:t xml:space="preserve">FISG: </w:t>
      </w:r>
      <w:r>
        <w:t>Finanzmarktintegritätsstärkungsgesetz, zentrale Reform nach Wirecard.</w:t>
      </w:r>
    </w:p>
    <w:p>
      <w:pPr>
        <w:widowControl/>
        <w:spacing w:after="80"/>
      </w:pPr>
      <w:r>
        <w:rPr>
          <w:b/>
        </w:rPr>
        <w:t xml:space="preserve">Kollektiver Verbraucherschutz: </w:t>
      </w:r>
      <w:r>
        <w:t>Schutz von Verbraucherinteressen bei strukturellen oder breiten Missständen, nicht individuelle Anspruchsdurchsetzung.</w:t>
      </w:r>
    </w:p>
    <w:p>
      <w:pPr>
        <w:widowControl/>
        <w:spacing w:after="80"/>
      </w:pPr>
      <w:r>
        <w:rPr>
          <w:b/>
        </w:rPr>
        <w:t xml:space="preserve">Marktmissbrauch: </w:t>
      </w:r>
      <w:r>
        <w:t>Insiderhandel, Marktmanipulation und verwandte Verstöße gegen Marktintegrität.</w:t>
      </w:r>
    </w:p>
    <w:p>
      <w:pPr>
        <w:widowControl/>
        <w:spacing w:after="80"/>
      </w:pPr>
      <w:r>
        <w:rPr>
          <w:b/>
        </w:rPr>
        <w:t xml:space="preserve">MiCA: </w:t>
      </w:r>
      <w:r>
        <w:t>EU-Verordnung über Märkte für Kryptowerte.</w:t>
      </w:r>
    </w:p>
    <w:p>
      <w:pPr>
        <w:widowControl/>
        <w:spacing w:after="80"/>
      </w:pPr>
      <w:r>
        <w:rPr>
          <w:b/>
        </w:rPr>
        <w:t xml:space="preserve">MiFID II: </w:t>
      </w:r>
      <w:r>
        <w:t>Europäischer Rechtsrahmen für Märkte für Finanzinstrumente und Wertpapierdienstleistungen.</w:t>
      </w:r>
    </w:p>
    <w:p>
      <w:pPr>
        <w:widowControl/>
        <w:spacing w:after="80"/>
      </w:pPr>
      <w:r>
        <w:rPr>
          <w:b/>
        </w:rPr>
        <w:t xml:space="preserve">Mystery Shopping: </w:t>
      </w:r>
      <w:r>
        <w:t>Verdeckte Testkäufe oder Testkontakte zur Prüfung realer Vertriebspraxis.</w:t>
      </w:r>
    </w:p>
    <w:p>
      <w:pPr>
        <w:widowControl/>
        <w:spacing w:after="80"/>
      </w:pPr>
      <w:r>
        <w:rPr>
          <w:b/>
        </w:rPr>
        <w:t xml:space="preserve">Produktgovernance: </w:t>
      </w:r>
      <w:r>
        <w:t>Steuerung eines Finanzprodukts von Konzeption und Zielmarkt bis Überprüfung und Vertrieb.</w:t>
      </w:r>
    </w:p>
    <w:p>
      <w:pPr>
        <w:widowControl/>
        <w:spacing w:after="80"/>
      </w:pPr>
      <w:r>
        <w:rPr>
          <w:b/>
        </w:rPr>
        <w:t xml:space="preserve">Produktintervention: </w:t>
      </w:r>
      <w:r>
        <w:t>Behördliche Beschränkung oder Untersagung von Vermarktung, Vertrieb oder Verkauf bestimmter Produkte.</w:t>
      </w:r>
    </w:p>
    <w:p>
      <w:pPr>
        <w:widowControl/>
        <w:spacing w:after="80"/>
      </w:pPr>
      <w:r>
        <w:rPr>
          <w:b/>
        </w:rPr>
        <w:t xml:space="preserve">Prospektbilligung: </w:t>
      </w:r>
      <w:r>
        <w:t>Prüfung gesetzlicher Prospektmerkmale; keine Anlageempfehlung oder wirtschaftliche Qualitätsprüfung.</w:t>
      </w:r>
    </w:p>
    <w:p>
      <w:pPr>
        <w:widowControl/>
        <w:spacing w:after="80"/>
      </w:pPr>
      <w:r>
        <w:rPr>
          <w:b/>
        </w:rPr>
        <w:t xml:space="preserve">Solvenzaufsicht: </w:t>
      </w:r>
      <w:r>
        <w:t>Überwachung der Fähigkeit eines Unternehmens, seine Verpflichtungen dauerhaft zu erfüllen.</w:t>
      </w:r>
    </w:p>
    <w:p>
      <w:pPr>
        <w:widowControl/>
        <w:spacing w:after="80"/>
      </w:pPr>
      <w:r>
        <w:rPr>
          <w:b/>
        </w:rPr>
        <w:t xml:space="preserve">SSM: </w:t>
      </w:r>
      <w:r>
        <w:t>Einheitlicher Aufsichtsmechanismus der europäischen Bankenunion.</w:t>
      </w:r>
    </w:p>
    <w:p>
      <w:pPr>
        <w:widowControl/>
        <w:spacing w:after="80"/>
      </w:pPr>
      <w:r>
        <w:rPr>
          <w:b/>
        </w:rPr>
        <w:t xml:space="preserve">Verhaltensaufsicht: </w:t>
      </w:r>
      <w:r>
        <w:t>Aufsicht über das Verhalten von Unternehmen gegenüber Kunden und am Markt.</w:t>
      </w:r>
    </w:p>
    <w:p>
      <w:pPr>
        <w:pStyle w:val="Heading1"/>
        <w:keepNext/>
        <w:widowControl/>
      </w:pPr>
      <w:r>
        <w:t>Anhang C  Rechtsgrundlagen und weiterführende Quellen</w:t>
      </w:r>
    </w:p>
    <w:p>
      <w:pPr>
        <w:widowControl/>
      </w:pPr>
      <w:r>
        <w:t>Die folgende Auswahl dient der Vertiefung. Bei Rechtsfragen ist stets die aktuelle konsolidierte Fassung maßgeblich. Abrufdaten können sich durch Aktualisierungen der Webseiten ändern.</w:t>
      </w:r>
    </w:p>
    <w:p>
      <w:pPr>
        <w:pStyle w:val="ListBullet"/>
        <w:widowControl/>
      </w:pPr>
      <w:r>
        <w:rPr>
          <w:b/>
        </w:rPr>
        <w:t xml:space="preserve">Finanzdienstleistungsaufsichtsgesetz FinDAG: </w:t>
      </w:r>
      <w:r>
        <w:t>https://www.gesetze-im-internet.de/findag/</w:t>
      </w:r>
    </w:p>
    <w:p>
      <w:pPr>
        <w:pStyle w:val="ListBullet"/>
        <w:widowControl/>
      </w:pPr>
      <w:r>
        <w:rPr>
          <w:b/>
        </w:rPr>
        <w:t xml:space="preserve">§ 4 FinDAG Aufgaben und kollektiver Verbraucherschutz: </w:t>
      </w:r>
      <w:r>
        <w:t>https://www.gesetze-im-internet.de/findag/__4.html</w:t>
      </w:r>
    </w:p>
    <w:p>
      <w:pPr>
        <w:pStyle w:val="ListBullet"/>
        <w:widowControl/>
      </w:pPr>
      <w:r>
        <w:rPr>
          <w:b/>
        </w:rPr>
        <w:t xml:space="preserve">Kreditwesengesetz KWG: </w:t>
      </w:r>
      <w:r>
        <w:t>https://www.gesetze-im-internet.de/kredwg/</w:t>
      </w:r>
    </w:p>
    <w:p>
      <w:pPr>
        <w:pStyle w:val="ListBullet"/>
        <w:widowControl/>
      </w:pPr>
      <w:r>
        <w:rPr>
          <w:b/>
        </w:rPr>
        <w:t xml:space="preserve">Wertpapierhandelsgesetz WpHG: </w:t>
      </w:r>
      <w:r>
        <w:t>https://www.gesetze-im-internet.de/wphg/</w:t>
      </w:r>
    </w:p>
    <w:p>
      <w:pPr>
        <w:pStyle w:val="ListBullet"/>
        <w:widowControl/>
      </w:pPr>
      <w:r>
        <w:rPr>
          <w:b/>
        </w:rPr>
        <w:t xml:space="preserve">Wertpapierprospektgesetz WpPG: </w:t>
      </w:r>
      <w:r>
        <w:t>https://www.gesetze-im-internet.de/wppg/</w:t>
      </w:r>
    </w:p>
    <w:p>
      <w:pPr>
        <w:pStyle w:val="ListBullet"/>
        <w:widowControl/>
      </w:pPr>
      <w:r>
        <w:rPr>
          <w:b/>
        </w:rPr>
        <w:t xml:space="preserve">Kapitalanlagegesetzbuch KAGB: </w:t>
      </w:r>
      <w:r>
        <w:t>https://www.gesetze-im-internet.de/kagb/</w:t>
      </w:r>
    </w:p>
    <w:p>
      <w:pPr>
        <w:pStyle w:val="ListBullet"/>
        <w:widowControl/>
      </w:pPr>
      <w:r>
        <w:rPr>
          <w:b/>
        </w:rPr>
        <w:t xml:space="preserve">Versicherungsaufsichtsgesetz VAG: </w:t>
      </w:r>
      <w:r>
        <w:t>https://www.gesetze-im-internet.de/vag_2016/</w:t>
      </w:r>
    </w:p>
    <w:p>
      <w:pPr>
        <w:pStyle w:val="ListBullet"/>
        <w:widowControl/>
      </w:pPr>
      <w:r>
        <w:rPr>
          <w:b/>
        </w:rPr>
        <w:t xml:space="preserve">Zahlungsdiensteaufsichtsgesetz ZAG: </w:t>
      </w:r>
      <w:r>
        <w:t>https://www.gesetze-im-internet.de/zag_2018/</w:t>
      </w:r>
    </w:p>
    <w:p>
      <w:pPr>
        <w:pStyle w:val="ListBullet"/>
        <w:widowControl/>
      </w:pPr>
      <w:r>
        <w:rPr>
          <w:b/>
        </w:rPr>
        <w:t xml:space="preserve">Sanierungs- und Abwicklungsgesetz SAG: </w:t>
      </w:r>
      <w:r>
        <w:t>https://www.gesetze-im-internet.de/sag/</w:t>
      </w:r>
    </w:p>
    <w:p>
      <w:pPr>
        <w:pStyle w:val="ListBullet"/>
        <w:widowControl/>
      </w:pPr>
      <w:r>
        <w:rPr>
          <w:b/>
        </w:rPr>
        <w:t xml:space="preserve">Finanzmarktintegritätsstärkungsgesetz FISG: </w:t>
      </w:r>
      <w:r>
        <w:t>https://www.buzer.de/FISG.htm</w:t>
      </w:r>
    </w:p>
    <w:p>
      <w:pPr>
        <w:pStyle w:val="ListBullet"/>
        <w:widowControl/>
      </w:pPr>
      <w:r>
        <w:rPr>
          <w:b/>
        </w:rPr>
        <w:t xml:space="preserve">EU Marktmissbrauchsverordnung: </w:t>
      </w:r>
      <w:r>
        <w:t>https://eur-lex.europa.eu/eli/reg/2014/596/oj</w:t>
      </w:r>
    </w:p>
    <w:p>
      <w:pPr>
        <w:pStyle w:val="ListBullet"/>
        <w:widowControl/>
      </w:pPr>
      <w:r>
        <w:rPr>
          <w:b/>
        </w:rPr>
        <w:t xml:space="preserve">EU MiFID II: </w:t>
      </w:r>
      <w:r>
        <w:t>https://eur-lex.europa.eu/eli/dir/2014/65/oj</w:t>
      </w:r>
    </w:p>
    <w:p>
      <w:pPr>
        <w:pStyle w:val="ListBullet"/>
        <w:widowControl/>
      </w:pPr>
      <w:r>
        <w:rPr>
          <w:b/>
        </w:rPr>
        <w:t xml:space="preserve">EU Prospektverordnung: </w:t>
      </w:r>
      <w:r>
        <w:t>https://eur-lex.europa.eu/eli/reg/2017/1129/oj</w:t>
      </w:r>
    </w:p>
    <w:p>
      <w:pPr>
        <w:pStyle w:val="ListBullet"/>
        <w:widowControl/>
      </w:pPr>
      <w:r>
        <w:rPr>
          <w:b/>
        </w:rPr>
        <w:t xml:space="preserve">EU MiCA-Verordnung: </w:t>
      </w:r>
      <w:r>
        <w:t>https://eur-lex.europa.eu/eli/reg/2023/1114/oj</w:t>
      </w:r>
    </w:p>
    <w:p>
      <w:pPr>
        <w:pStyle w:val="ListBullet"/>
        <w:widowControl/>
      </w:pPr>
      <w:r>
        <w:rPr>
          <w:b/>
        </w:rPr>
        <w:t xml:space="preserve">EU DORA-Verordnung: </w:t>
      </w:r>
      <w:r>
        <w:t>https://eur-lex.europa.eu/eli/reg/2022/2554/oj</w:t>
      </w:r>
    </w:p>
    <w:p>
      <w:pPr>
        <w:pStyle w:val="ListBullet"/>
        <w:widowControl/>
      </w:pPr>
      <w:r>
        <w:rPr>
          <w:b/>
        </w:rPr>
        <w:t xml:space="preserve">EZB Bankenaufsicht: </w:t>
      </w:r>
      <w:r>
        <w:t>https://www.bankingsupervision.europa.eu/home/html/index.de.html</w:t>
      </w:r>
    </w:p>
    <w:p>
      <w:pPr>
        <w:pStyle w:val="ListBullet"/>
        <w:widowControl/>
      </w:pPr>
      <w:r>
        <w:rPr>
          <w:b/>
        </w:rPr>
        <w:t xml:space="preserve">Europäische Bankenaufsichtsbehörde EBA: </w:t>
      </w:r>
      <w:r>
        <w:t>https://www.eba.europa.eu/</w:t>
      </w:r>
    </w:p>
    <w:p>
      <w:pPr>
        <w:pStyle w:val="ListBullet"/>
        <w:widowControl/>
      </w:pPr>
      <w:r>
        <w:rPr>
          <w:b/>
        </w:rPr>
        <w:t xml:space="preserve">Europäische Wertpapieraufsicht ESMA: </w:t>
      </w:r>
      <w:r>
        <w:t>https://www.esma.europa.eu/</w:t>
      </w:r>
    </w:p>
    <w:p>
      <w:pPr>
        <w:pStyle w:val="ListBullet"/>
        <w:widowControl/>
      </w:pPr>
      <w:r>
        <w:rPr>
          <w:b/>
        </w:rPr>
        <w:t xml:space="preserve">Europäische Versicherungsaufsicht EIOPA: </w:t>
      </w:r>
      <w:r>
        <w:t>https://www.eiopa.europa.eu/</w:t>
      </w:r>
    </w:p>
    <w:p>
      <w:pPr>
        <w:pStyle w:val="ListBullet"/>
        <w:widowControl/>
      </w:pPr>
      <w:r>
        <w:rPr>
          <w:b/>
        </w:rPr>
        <w:t xml:space="preserve">BaFin Internetauftritt: </w:t>
      </w:r>
      <w:r>
        <w:t>https://www.bafin.de/</w:t>
      </w:r>
    </w:p>
    <w:p>
      <w:pPr>
        <w:pStyle w:val="ListBullet"/>
        <w:widowControl/>
      </w:pPr>
      <w:r>
        <w:rPr>
          <w:b/>
        </w:rPr>
        <w:t xml:space="preserve">BaFin Verbraucherportal: </w:t>
      </w:r>
      <w:r>
        <w:t>https://www.bafin.de/DE/Verbraucher/verbraucher_node.html</w:t>
      </w:r>
    </w:p>
    <w:p>
      <w:pPr>
        <w:pStyle w:val="ListBullet"/>
        <w:widowControl/>
      </w:pPr>
      <w:r>
        <w:rPr>
          <w:b/>
        </w:rPr>
        <w:t xml:space="preserve">BaFin Unternehmensdatenbank: </w:t>
      </w:r>
      <w:r>
        <w:t>https://portal.mvp.bafin.de/database/InstInfo/</w:t>
      </w:r>
    </w:p>
    <w:p>
      <w:pPr>
        <w:pStyle w:val="ListBullet"/>
        <w:widowControl/>
      </w:pPr>
      <w:r>
        <w:rPr>
          <w:b/>
        </w:rPr>
        <w:t xml:space="preserve">BaFin Beschwerden und Ansprechpartner: </w:t>
      </w:r>
      <w:r>
        <w:t>https://www.bafin.de/DE/Verbraucher/BeschwerdenStreitschlichtung/beschwerdenstreitschlichtung_node.html</w:t>
      </w:r>
    </w:p>
    <w:p>
      <w:pPr>
        <w:pStyle w:val="ListBullet"/>
        <w:widowControl/>
      </w:pPr>
      <w:r>
        <w:rPr>
          <w:b/>
        </w:rPr>
        <w:t xml:space="preserve">Bundesbank Bankenaufsicht: </w:t>
      </w:r>
      <w:r>
        <w:t>https://www.bundesbank.de/de/aufgaben/bankenaufsicht</w:t>
      </w:r>
    </w:p>
    <w:p>
      <w:pPr>
        <w:pStyle w:val="ListBullet"/>
        <w:widowControl/>
      </w:pPr>
      <w:r>
        <w:rPr>
          <w:b/>
        </w:rPr>
        <w:t xml:space="preserve">Bundesministerium der Finanzen Finanzmarktpolitik: </w:t>
      </w:r>
      <w:r>
        <w:t>https://www.bundesfinanzministerium.de/Web/DE/Themen/Internationales_Finanzmarkt/Finanzmarktpolitik/finanzmarktpolitik.html</w:t>
      </w:r>
    </w:p>
    <w:p>
      <w:pPr>
        <w:pStyle w:val="ListBullet"/>
        <w:widowControl/>
      </w:pPr>
      <w:r>
        <w:rPr>
          <w:b/>
        </w:rPr>
        <w:t xml:space="preserve">Financial Conduct Authority Enforcement: </w:t>
      </w:r>
      <w:r>
        <w:t>https://www.fca.org.uk/about/how-we-regulate/enforcement</w:t>
      </w:r>
    </w:p>
    <w:p>
      <w:pPr>
        <w:pStyle w:val="ListBullet"/>
        <w:widowControl/>
      </w:pPr>
      <w:r>
        <w:rPr>
          <w:b/>
        </w:rPr>
        <w:t xml:space="preserve">Financial Services and Markets Act 2000 Section 404: </w:t>
      </w:r>
      <w:r>
        <w:t>https://www.legislation.gov.uk/ukpga/2000/8/section/404</w:t>
      </w:r>
    </w:p>
    <w:p>
      <w:pPr>
        <w:pStyle w:val="ListBullet"/>
        <w:widowControl/>
      </w:pPr>
      <w:r>
        <w:rPr>
          <w:b/>
        </w:rPr>
        <w:t xml:space="preserve">Autorité des marchés financiers Frankreich: </w:t>
      </w:r>
      <w:r>
        <w:t>https://www.amf-france.org/en</w:t>
      </w:r>
    </w:p>
    <w:p>
      <w:pPr>
        <w:pStyle w:val="ListBullet"/>
        <w:widowControl/>
      </w:pPr>
      <w:r>
        <w:rPr>
          <w:b/>
        </w:rPr>
        <w:t xml:space="preserve">Autorité de contrôle prudentiel et de résolution: </w:t>
      </w:r>
      <w:r>
        <w:t>https://acpr.banque-france.fr/en</w:t>
      </w:r>
    </w:p>
    <w:p>
      <w:pPr>
        <w:pStyle w:val="ListBullet"/>
        <w:widowControl/>
      </w:pPr>
      <w:r>
        <w:rPr>
          <w:b/>
        </w:rPr>
        <w:t xml:space="preserve">Netherlands Authority for the Financial Markets: </w:t>
      </w:r>
      <w:r>
        <w:t>https://www.afm.nl/en</w:t>
      </w:r>
    </w:p>
    <w:p>
      <w:pPr>
        <w:pStyle w:val="ListBullet"/>
        <w:widowControl/>
      </w:pPr>
      <w:r>
        <w:rPr>
          <w:b/>
        </w:rPr>
        <w:t xml:space="preserve">De Nederlandsche Bank Supervision: </w:t>
      </w:r>
      <w:r>
        <w:t>https://www.dnb.nl/en/sector-information/supervision/</w:t>
      </w:r>
    </w:p>
    <w:p>
      <w:pPr>
        <w:pStyle w:val="ListBullet"/>
        <w:widowControl/>
      </w:pPr>
      <w:r>
        <w:rPr>
          <w:b/>
        </w:rPr>
        <w:t xml:space="preserve">Finanzmarktaufsicht Österreich: </w:t>
      </w:r>
      <w:r>
        <w:t>https://www.fma.gv.at/en/</w:t>
      </w:r>
    </w:p>
    <w:p>
      <w:pPr>
        <w:pStyle w:val="ListBullet"/>
        <w:widowControl/>
      </w:pPr>
      <w:r>
        <w:rPr>
          <w:b/>
        </w:rPr>
        <w:t xml:space="preserve">FINMA Enforcement: </w:t>
      </w:r>
      <w:r>
        <w:t>https://www.finma.ch/en/enforcement/</w:t>
      </w:r>
    </w:p>
    <w:p>
      <w:pPr>
        <w:pStyle w:val="ListBullet"/>
        <w:widowControl/>
      </w:pPr>
      <w:r>
        <w:rPr>
          <w:b/>
        </w:rPr>
        <w:t xml:space="preserve">EU MiFIR: </w:t>
      </w:r>
      <w:r>
        <w:t>https://eur-lex.europa.eu/eli/reg/2014/600/oj</w:t>
      </w:r>
    </w:p>
    <w:p>
      <w:pPr>
        <w:pStyle w:val="Heading1"/>
        <w:keepNext/>
        <w:widowControl/>
      </w:pPr>
      <w:r>
        <w:t>Schlussbetrachtung</w:t>
      </w:r>
    </w:p>
    <w:p>
      <w:pPr>
        <w:widowControl/>
      </w:pPr>
      <w:r>
        <w:t>Die Entwicklung der BaFin spiegelt die Entwicklung der Finanzmärkte. 2002 war die organisatorische Integration die große Antwort auf Allfinanzkonzerne. Nach 2008 rückten Systemstabilität und europäische Koordination in den Vordergrund. Seit 2015 wurde kollektiver Verbraucherschutz ausdrücklich verankert. Wirecard erzwang ab 2021 eine neue Debatte über Skepsis, Geschwindigkeit, Daten und Verantwortlichkeit. Seit Mitte der 2020er Jahre bestimmen Kryptowerte, digitale Resilienz, Nachhaltigkeitsangaben und künstliche Intelligenz den nächsten Umbau.</w:t>
      </w:r>
    </w:p>
    <w:p>
      <w:pPr>
        <w:widowControl/>
      </w:pPr>
      <w:r>
        <w:t>Heute bedeutet BaFin für Verbraucher und Anleger vor allem eine institutionelle Schutzschicht: Sie setzt Marktzutrittsregeln durch, überwacht Organisation und Verhalten, erkennt Muster, greift bei Missständen ein und warnt die Öffentlichkeit. Dieser Schutz ist substanziell, aber begrenzt. Er entbindet niemanden von Produktprüfung, Diversifikation, Fristwahrung und der Durchsetzung eigener Rechte. Eine reife Aufsichtspolitik verspricht deshalb keine risikofreie Finanzwelt. Sie schafft Regeln, Informationen und Eingriffsmöglichkeiten, damit Risiken sichtbar, tragbar und rechtlich verantwortlich bleiben.</w:t>
      </w:r>
    </w:p>
    <w:p>
      <w:pPr>
        <w:widowControl/>
        <w:sectPr>
          <w:headerReference w:type="default" r:id="rId10"/>
          <w:footerReference w:type="default" r:id="rId11"/>
          <w:pgSz w:w="12240" w:h="15840"/>
          <w:pgMar w:top="1247" w:right="1304" w:bottom="1247" w:left="1417" w:header="720" w:footer="720" w:gutter="0"/>
          <w:cols w:space="720"/>
          <w:docGrid w:linePitch="360"/>
        </w:sectPr>
      </w:pPr>
    </w:p>
    <w:p>
      <w:pPr>
        <w:widowControl/>
        <w:spacing w:before="900"/>
        <w:jc w:val="center"/>
      </w:pPr>
      <w:r>
        <w:rPr>
          <w:b/>
          <w:color w:val="000000"/>
          <w:sz w:val="44"/>
        </w:rPr>
        <w:t>Die BaFin im Wandel</w:t>
      </w:r>
    </w:p>
    <w:p>
      <w:pPr>
        <w:widowControl/>
        <w:jc w:val="center"/>
      </w:pPr>
      <w:r>
        <w:rPr>
          <w:i/>
        </w:rPr>
        <w:t>Wie Finanzaufsicht schützt  warum sie zögert  und welche Kompetenzen sie künftig braucht</w:t>
      </w:r>
    </w:p>
    <w:p>
      <w:pPr>
        <w:widowControl/>
      </w:pPr>
      <w:r>
        <w:t>Seit ihrer Gründung im Jahr 2002 hat sich die BaFin von der organisatorisch gebündelten Allfinanzaufsicht zu einer europäischen, daten- und verbraucherorientierten Aufsichtsbehörde entwickelt. Finanzkrise, europäische Bankenunion, kollektiver Verbraucherschutz, Wirecard, Kryptowerte und Cyberrisiken haben Auftrag und Arbeitsweise grundlegend verändert.</w:t>
      </w:r>
    </w:p>
    <w:p>
      <w:pPr>
        <w:widowControl/>
      </w:pPr>
      <w:r>
        <w:t>Dieses Buch erklärt verständlich und kritisch, was die BaFin heute für Verbraucher und Anleger leistet, wo ihre gesetzlichen Grenzen liegen und warum eine Erlaubnis oder Prospektbilligung kein Gütesiegel ist. Ein eigener Vergleich mit FCA, AMF und ACPR, AFM und DNB, FMA sowie FINMA untersucht, welche Behörden Maßnahmen schneller umsetzen, Sanktionen sichtbarer einsetzen oder kollektive Wiedergutmachung enger mit der Aufsicht verbinden.</w:t>
      </w:r>
    </w:p>
    <w:p>
      <w:pPr>
        <w:widowControl/>
      </w:pPr>
      <w:r>
        <w:t>Thomas Bremer begleitet die BaFin seit fast zwanzig Jahren als investigativer Journalist. Er hält sie für eine unverzichtbare Institution des Anleger- und Verbraucherschutzes, hat aber so manche zögerliche Maßnahme nicht nachvollziehen können. Das Buch verbindet Recherchen und eigene Erfahrungen. Es erhebt keinen Anspruch auf Vollständigkeit. Sein Ziel ist, die BaFin besser verständlich zu machen und den Gesetzgeber anzuregen, ihr dort mehr klar definierte Kompetenzen zu geben, wo moderner Finanzmarkt und digitaler Vertrieb bestehende Grenzen sichtbar machen.</w:t>
      </w:r>
    </w:p>
    <w:p>
      <w:pPr>
        <w:widowControl/>
      </w:pPr>
      <w:r>
        <w:t>Für Anleger, Verbraucher, Journalisten, Juristen, Finanzpraktiker und alle, die wissen wollen, wer den Finanzmarkt beaufsichtigt und was Aufsicht tatsächlich bewirken kann.</w:t>
      </w:r>
    </w:p>
    <w:p>
      <w:pPr>
        <w:widowControl/>
        <w:spacing w:before="560"/>
        <w:jc w:val="center"/>
      </w:pPr>
      <w:r>
        <w:rPr>
          <w:b/>
        </w:rPr>
        <w:t>Herausgegeben von Thomas Bremer</w:t>
      </w:r>
    </w:p>
    <w:sectPr w:rsidR="00FC693F" w:rsidRPr="0006063C" w:rsidSect="00034616">
      <w:headerReference w:type="default" r:id="rId12"/>
      <w:footerReference w:type="default" r:id="rId13"/>
      <w:pgSz w:w="12240" w:h="15840"/>
      <w:pgMar w:top="1247" w:right="1304"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Seite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Seite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A5A5A"/>
        <w:sz w:val="16"/>
      </w:rPr>
      <w:t>Die BaFin im Wandel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A5A5A"/>
        <w:sz w:val="16"/>
      </w:rPr>
      <w:t>Die BaFin im Wandel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Display" w:hAnsi="Aptos Display"/>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300" w:line="240" w:lineRule="auto"/>
      <w:contextualSpacing/>
    </w:pPr>
    <w:rPr>
      <w:rFonts w:asciiTheme="majorHAnsi" w:eastAsiaTheme="majorEastAsia" w:hAnsiTheme="majorHAnsi" w:cstheme="majorBidi" w:ascii="Aptos Display" w:hAnsi="Aptos Display"/>
      <w:b/>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pPr>
    <w:rPr>
      <w:rFonts w:asciiTheme="majorHAnsi" w:eastAsiaTheme="majorEastAsia" w:hAnsiTheme="majorHAnsi" w:cstheme="majorBidi" w:ascii="Aptos Display" w:hAnsi="Aptos Display"/>
      <w:b w:val="0"/>
      <w:i/>
      <w:iCs/>
      <w:color w:val="00000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Quote">
    <w:name w:val="Book Quote"/>
    <w:pPr>
      <w:spacing w:before="100" w:after="160"/>
      <w:ind w:left="397" w:right="283"/>
    </w:pPr>
    <w:rPr>
      <w:rFonts w:ascii="Aptos" w:hAnsi="Aptos"/>
      <w:i/>
      <w:color w:val="373737"/>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BaFin im Wandel</dc:title>
  <dc:subject>Geschichte, Aufgaben sowie Verbraucher- und Anlegerschutz der BaFin</dc:subject>
  <dc:creator>OpenAI</dc:creator>
  <cp:keywords>BaFin, Finanzaufsicht, Verbraucherschutz, Anlegerschutz, Wirecard, Finanzmarkt</cp:keywords>
  <dc:description>generated by python-docx</dc:description>
  <cp:lastModifiedBy/>
  <cp:revision>1</cp:revision>
  <dcterms:created xsi:type="dcterms:W3CDTF">2013-12-23T23:15:00Z</dcterms:created>
  <dcterms:modified xsi:type="dcterms:W3CDTF">2013-12-23T23:15:00Z</dcterms:modified>
  <cp:category/>
</cp:coreProperties>
</file>